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92D27A3">
      <w:pPr>
        <w:rPr>
          <w:highlight w:val="none"/>
        </w:rPr>
      </w:pPr>
      <w:bookmarkStart w:id="0" w:name="_Hlk57883707"/>
    </w:p>
    <w:p w14:paraId="18BC895B">
      <w:pPr>
        <w:rPr>
          <w:highlight w:val="none"/>
        </w:rPr>
      </w:pPr>
    </w:p>
    <w:p w14:paraId="5B0C1555">
      <w:pPr>
        <w:rPr>
          <w:highlight w:val="none"/>
        </w:rPr>
      </w:pPr>
    </w:p>
    <w:p w14:paraId="6463E6BF">
      <w:pPr>
        <w:rPr>
          <w:highlight w:val="none"/>
        </w:rPr>
      </w:pPr>
    </w:p>
    <w:p w14:paraId="63B40AB5">
      <w:pPr>
        <w:rPr>
          <w:rFonts w:eastAsia="仿宋_GB2312"/>
          <w:color w:val="FF0000"/>
          <w:sz w:val="36"/>
          <w:szCs w:val="36"/>
          <w:highlight w:val="none"/>
        </w:rPr>
      </w:pPr>
    </w:p>
    <w:p w14:paraId="0AD410D0">
      <w:pPr>
        <w:rPr>
          <w:rFonts w:eastAsia="仿宋_GB2312"/>
          <w:color w:val="FF0000"/>
          <w:sz w:val="36"/>
          <w:szCs w:val="36"/>
          <w:highlight w:val="none"/>
        </w:rPr>
      </w:pPr>
    </w:p>
    <w:p w14:paraId="0D0BBE10">
      <w:pPr>
        <w:rPr>
          <w:rFonts w:eastAsia="仿宋_GB2312"/>
          <w:color w:val="FF0000"/>
          <w:sz w:val="36"/>
          <w:szCs w:val="36"/>
          <w:highlight w:val="none"/>
        </w:rPr>
      </w:pPr>
    </w:p>
    <w:p w14:paraId="16872C67">
      <w:pPr>
        <w:rPr>
          <w:rFonts w:eastAsia="仿宋_GB2312"/>
          <w:color w:val="FF0000"/>
          <w:sz w:val="36"/>
          <w:szCs w:val="36"/>
          <w:highlight w:val="none"/>
        </w:rPr>
      </w:pPr>
    </w:p>
    <w:bookmarkEnd w:id="0"/>
    <w:p w14:paraId="5ABF34EC">
      <w:pPr>
        <w:adjustRightInd w:val="0"/>
        <w:snapToGrid w:val="0"/>
        <w:jc w:val="center"/>
        <w:rPr>
          <w:rFonts w:eastAsia="方正小标宋_GBK"/>
          <w:bCs/>
          <w:color w:val="auto"/>
          <w:sz w:val="72"/>
          <w:szCs w:val="72"/>
          <w:highlight w:val="none"/>
        </w:rPr>
      </w:pPr>
      <w:r>
        <w:rPr>
          <w:rFonts w:eastAsia="方正小标宋_GBK"/>
          <w:bCs/>
          <w:color w:val="auto"/>
          <w:sz w:val="72"/>
          <w:szCs w:val="72"/>
          <w:highlight w:val="none"/>
        </w:rPr>
        <w:t>建设项目环境影响报告表</w:t>
      </w:r>
    </w:p>
    <w:p w14:paraId="745E22D7">
      <w:pPr>
        <w:adjustRightInd w:val="0"/>
        <w:snapToGrid w:val="0"/>
        <w:spacing w:before="192" w:beforeLines="80"/>
        <w:jc w:val="center"/>
        <w:rPr>
          <w:rFonts w:eastAsia="楷体_GB2312"/>
          <w:bCs/>
          <w:color w:val="auto"/>
          <w:sz w:val="48"/>
          <w:szCs w:val="48"/>
          <w:highlight w:val="none"/>
        </w:rPr>
      </w:pPr>
      <w:r>
        <w:rPr>
          <w:rFonts w:eastAsia="楷体_GB2312"/>
          <w:bCs/>
          <w:color w:val="auto"/>
          <w:sz w:val="48"/>
          <w:szCs w:val="48"/>
          <w:highlight w:val="none"/>
        </w:rPr>
        <w:t>（生态影响类）</w:t>
      </w:r>
    </w:p>
    <w:p w14:paraId="4896F485">
      <w:pPr>
        <w:jc w:val="center"/>
        <w:rPr>
          <w:rFonts w:eastAsia="仿宋"/>
          <w:color w:val="auto"/>
          <w:sz w:val="52"/>
          <w:szCs w:val="52"/>
          <w:highlight w:val="none"/>
        </w:rPr>
      </w:pPr>
      <w:bookmarkStart w:id="1" w:name="_Hlk57883728"/>
    </w:p>
    <w:p w14:paraId="686ED9C2">
      <w:pPr>
        <w:jc w:val="center"/>
        <w:rPr>
          <w:rFonts w:eastAsia="仿宋"/>
          <w:color w:val="auto"/>
          <w:sz w:val="52"/>
          <w:szCs w:val="52"/>
          <w:highlight w:val="none"/>
        </w:rPr>
      </w:pPr>
    </w:p>
    <w:p w14:paraId="7358FB64">
      <w:pPr>
        <w:ind w:firstLine="1040"/>
        <w:rPr>
          <w:rFonts w:eastAsia="仿宋"/>
          <w:color w:val="auto"/>
          <w:sz w:val="44"/>
          <w:szCs w:val="44"/>
          <w:highlight w:val="none"/>
        </w:rPr>
      </w:pPr>
    </w:p>
    <w:p w14:paraId="37B11A4C">
      <w:pPr>
        <w:ind w:firstLine="1040"/>
        <w:rPr>
          <w:rFonts w:eastAsia="仿宋"/>
          <w:color w:val="auto"/>
          <w:sz w:val="44"/>
          <w:szCs w:val="44"/>
          <w:highlight w:val="none"/>
        </w:rPr>
      </w:pPr>
    </w:p>
    <w:p w14:paraId="5E3C39D3">
      <w:pPr>
        <w:ind w:firstLine="1040"/>
        <w:rPr>
          <w:rFonts w:eastAsia="仿宋"/>
          <w:color w:val="auto"/>
          <w:sz w:val="44"/>
          <w:szCs w:val="44"/>
          <w:highlight w:val="none"/>
        </w:rPr>
      </w:pPr>
    </w:p>
    <w:p w14:paraId="76E8D84D">
      <w:pPr>
        <w:ind w:firstLine="1040"/>
        <w:rPr>
          <w:rFonts w:eastAsia="仿宋"/>
          <w:color w:val="auto"/>
          <w:sz w:val="44"/>
          <w:szCs w:val="44"/>
          <w:highlight w:val="none"/>
        </w:rPr>
      </w:pPr>
    </w:p>
    <w:p w14:paraId="204AAFE6">
      <w:pPr>
        <w:ind w:firstLine="1040"/>
        <w:rPr>
          <w:rFonts w:eastAsia="仿宋"/>
          <w:color w:val="auto"/>
          <w:sz w:val="44"/>
          <w:szCs w:val="44"/>
          <w:highlight w:val="none"/>
        </w:rPr>
      </w:pPr>
    </w:p>
    <w:bookmarkEnd w:id="1"/>
    <w:p w14:paraId="6C4ADFAC">
      <w:pPr>
        <w:adjustRightInd w:val="0"/>
        <w:snapToGrid w:val="0"/>
        <w:spacing w:line="288" w:lineRule="auto"/>
        <w:ind w:firstLine="360" w:firstLineChars="100"/>
        <w:rPr>
          <w:rFonts w:hint="default" w:eastAsia="仿宋_GB2312"/>
          <w:b/>
          <w:bCs/>
          <w:color w:val="auto"/>
          <w:sz w:val="36"/>
          <w:szCs w:val="36"/>
          <w:highlight w:val="none"/>
          <w:u w:val="single"/>
          <w:lang w:val="en-US" w:eastAsia="zh-CN"/>
        </w:rPr>
      </w:pPr>
      <w:r>
        <w:rPr>
          <w:rFonts w:eastAsia="仿宋_GB2312"/>
          <w:color w:val="auto"/>
          <w:sz w:val="36"/>
          <w:szCs w:val="36"/>
          <w:highlight w:val="none"/>
        </w:rPr>
        <w:t>项目名称：</w:t>
      </w:r>
      <w:r>
        <w:rPr>
          <w:rFonts w:hint="eastAsia" w:eastAsia="仿宋_GB2312"/>
          <w:color w:val="auto"/>
          <w:sz w:val="36"/>
          <w:szCs w:val="36"/>
          <w:highlight w:val="none"/>
          <w:u w:val="single"/>
          <w:lang w:eastAsia="zh-CN"/>
        </w:rPr>
        <w:t>黑龙江省饶河县大带河治理工程（补充）（EPC）</w:t>
      </w:r>
    </w:p>
    <w:p w14:paraId="0F73B084">
      <w:pPr>
        <w:adjustRightInd w:val="0"/>
        <w:snapToGrid w:val="0"/>
        <w:spacing w:line="288" w:lineRule="auto"/>
        <w:ind w:firstLine="360" w:firstLineChars="100"/>
        <w:rPr>
          <w:rFonts w:eastAsia="仿宋_GB2312"/>
          <w:color w:val="auto"/>
          <w:sz w:val="36"/>
          <w:szCs w:val="36"/>
          <w:highlight w:val="none"/>
          <w:u w:val="single"/>
        </w:rPr>
      </w:pPr>
      <w:r>
        <w:rPr>
          <w:rFonts w:eastAsia="仿宋_GB2312"/>
          <w:color w:val="auto"/>
          <w:sz w:val="36"/>
          <w:szCs w:val="36"/>
          <w:highlight w:val="none"/>
        </w:rPr>
        <w:t>建设单位（盖章）：</w:t>
      </w:r>
      <w:r>
        <w:rPr>
          <w:rFonts w:eastAsia="仿宋_GB2312"/>
          <w:color w:val="auto"/>
          <w:sz w:val="36"/>
          <w:szCs w:val="36"/>
          <w:highlight w:val="none"/>
          <w:u w:val="single"/>
        </w:rPr>
        <w:t xml:space="preserve">  </w:t>
      </w:r>
      <w:r>
        <w:rPr>
          <w:rFonts w:hint="eastAsia" w:eastAsia="仿宋_GB2312"/>
          <w:color w:val="auto"/>
          <w:sz w:val="36"/>
          <w:szCs w:val="36"/>
          <w:highlight w:val="none"/>
          <w:u w:val="single"/>
          <w:lang w:eastAsia="zh-CN"/>
        </w:rPr>
        <w:t>饶河县水利工程建设中心</w:t>
      </w:r>
      <w:r>
        <w:rPr>
          <w:rFonts w:hint="eastAsia" w:eastAsia="仿宋_GB2312"/>
          <w:color w:val="auto"/>
          <w:sz w:val="36"/>
          <w:szCs w:val="36"/>
          <w:highlight w:val="none"/>
          <w:u w:val="single"/>
          <w:lang w:val="en-US" w:eastAsia="zh-CN"/>
        </w:rPr>
        <w:t xml:space="preserve"> </w:t>
      </w:r>
      <w:r>
        <w:rPr>
          <w:rFonts w:eastAsia="仿宋_GB2312"/>
          <w:color w:val="auto"/>
          <w:sz w:val="36"/>
          <w:szCs w:val="36"/>
          <w:highlight w:val="none"/>
          <w:u w:val="single"/>
        </w:rPr>
        <w:t xml:space="preserve"> </w:t>
      </w:r>
      <w:r>
        <w:rPr>
          <w:rFonts w:hint="eastAsia" w:eastAsia="仿宋_GB2312"/>
          <w:color w:val="auto"/>
          <w:sz w:val="36"/>
          <w:szCs w:val="36"/>
          <w:highlight w:val="none"/>
          <w:u w:val="single"/>
          <w:lang w:val="en-US" w:eastAsia="zh-CN"/>
        </w:rPr>
        <w:t xml:space="preserve"> </w:t>
      </w:r>
      <w:r>
        <w:rPr>
          <w:rFonts w:eastAsia="仿宋_GB2312"/>
          <w:color w:val="auto"/>
          <w:sz w:val="36"/>
          <w:szCs w:val="36"/>
          <w:highlight w:val="none"/>
          <w:u w:val="single"/>
        </w:rPr>
        <w:t xml:space="preserve">  </w:t>
      </w:r>
    </w:p>
    <w:p w14:paraId="64476223">
      <w:pPr>
        <w:adjustRightInd w:val="0"/>
        <w:snapToGrid w:val="0"/>
        <w:spacing w:line="288" w:lineRule="auto"/>
        <w:ind w:firstLine="360" w:firstLineChars="100"/>
        <w:rPr>
          <w:rFonts w:eastAsia="仿宋_GB2312"/>
          <w:color w:val="auto"/>
          <w:sz w:val="36"/>
          <w:szCs w:val="36"/>
          <w:highlight w:val="none"/>
          <w:u w:val="single"/>
        </w:rPr>
      </w:pPr>
      <w:r>
        <w:rPr>
          <w:rFonts w:eastAsia="仿宋_GB2312"/>
          <w:color w:val="auto"/>
          <w:sz w:val="36"/>
          <w:szCs w:val="36"/>
          <w:highlight w:val="none"/>
        </w:rPr>
        <w:t>编制日期：</w:t>
      </w:r>
      <w:r>
        <w:rPr>
          <w:rFonts w:eastAsia="仿宋_GB2312"/>
          <w:color w:val="auto"/>
          <w:sz w:val="36"/>
          <w:szCs w:val="36"/>
          <w:highlight w:val="none"/>
          <w:u w:val="single"/>
        </w:rPr>
        <w:t xml:space="preserve">           </w:t>
      </w:r>
      <w:r>
        <w:rPr>
          <w:rFonts w:hint="eastAsia" w:eastAsia="仿宋_GB2312"/>
          <w:color w:val="auto"/>
          <w:sz w:val="36"/>
          <w:szCs w:val="36"/>
          <w:highlight w:val="none"/>
          <w:u w:val="single"/>
          <w:lang w:val="en-US" w:eastAsia="zh-CN"/>
        </w:rPr>
        <w:t xml:space="preserve"> </w:t>
      </w:r>
      <w:r>
        <w:rPr>
          <w:rFonts w:eastAsia="仿宋_GB2312"/>
          <w:color w:val="auto"/>
          <w:sz w:val="36"/>
          <w:szCs w:val="36"/>
          <w:highlight w:val="none"/>
          <w:u w:val="single"/>
        </w:rPr>
        <w:t>202</w:t>
      </w:r>
      <w:r>
        <w:rPr>
          <w:rFonts w:hint="eastAsia" w:eastAsia="仿宋_GB2312"/>
          <w:color w:val="auto"/>
          <w:sz w:val="36"/>
          <w:szCs w:val="36"/>
          <w:highlight w:val="none"/>
          <w:u w:val="single"/>
          <w:lang w:val="en-US" w:eastAsia="zh-CN"/>
        </w:rPr>
        <w:t>5</w:t>
      </w:r>
      <w:r>
        <w:rPr>
          <w:rFonts w:eastAsia="仿宋_GB2312"/>
          <w:color w:val="auto"/>
          <w:sz w:val="36"/>
          <w:szCs w:val="36"/>
          <w:highlight w:val="none"/>
          <w:u w:val="single"/>
        </w:rPr>
        <w:t>年</w:t>
      </w:r>
      <w:r>
        <w:rPr>
          <w:rFonts w:hint="eastAsia" w:eastAsia="仿宋_GB2312"/>
          <w:color w:val="auto"/>
          <w:sz w:val="36"/>
          <w:szCs w:val="36"/>
          <w:highlight w:val="none"/>
          <w:u w:val="single"/>
          <w:lang w:val="en-US" w:eastAsia="zh-CN"/>
        </w:rPr>
        <w:t>6</w:t>
      </w:r>
      <w:r>
        <w:rPr>
          <w:rFonts w:eastAsia="仿宋_GB2312"/>
          <w:color w:val="auto"/>
          <w:sz w:val="36"/>
          <w:szCs w:val="36"/>
          <w:highlight w:val="none"/>
          <w:u w:val="single"/>
        </w:rPr>
        <w:t>月</w:t>
      </w:r>
      <w:r>
        <w:rPr>
          <w:rFonts w:hint="eastAsia" w:eastAsia="仿宋_GB2312"/>
          <w:color w:val="auto"/>
          <w:sz w:val="36"/>
          <w:szCs w:val="36"/>
          <w:highlight w:val="none"/>
          <w:u w:val="single"/>
        </w:rPr>
        <w:t xml:space="preserve"> </w:t>
      </w:r>
      <w:r>
        <w:rPr>
          <w:rFonts w:eastAsia="仿宋_GB2312"/>
          <w:color w:val="auto"/>
          <w:sz w:val="36"/>
          <w:szCs w:val="36"/>
          <w:highlight w:val="none"/>
          <w:u w:val="single"/>
        </w:rPr>
        <w:t xml:space="preserve">      </w:t>
      </w:r>
      <w:r>
        <w:rPr>
          <w:rFonts w:hint="eastAsia" w:eastAsia="仿宋_GB2312"/>
          <w:color w:val="auto"/>
          <w:sz w:val="36"/>
          <w:szCs w:val="36"/>
          <w:highlight w:val="none"/>
          <w:u w:val="single"/>
          <w:lang w:val="en-US" w:eastAsia="zh-CN"/>
        </w:rPr>
        <w:t xml:space="preserve">  </w:t>
      </w:r>
      <w:r>
        <w:rPr>
          <w:rFonts w:eastAsia="仿宋_GB2312"/>
          <w:color w:val="auto"/>
          <w:sz w:val="36"/>
          <w:szCs w:val="36"/>
          <w:highlight w:val="none"/>
          <w:u w:val="single"/>
        </w:rPr>
        <w:t xml:space="preserve">      </w:t>
      </w:r>
    </w:p>
    <w:p w14:paraId="2F2ED1CD">
      <w:pPr>
        <w:adjustRightInd w:val="0"/>
        <w:snapToGrid w:val="0"/>
        <w:spacing w:line="288" w:lineRule="auto"/>
        <w:ind w:firstLine="1040"/>
        <w:rPr>
          <w:rFonts w:eastAsia="仿宋_GB2312"/>
          <w:color w:val="auto"/>
          <w:sz w:val="36"/>
          <w:szCs w:val="36"/>
          <w:highlight w:val="none"/>
        </w:rPr>
      </w:pPr>
    </w:p>
    <w:p w14:paraId="32336B9B">
      <w:pPr>
        <w:adjustRightInd w:val="0"/>
        <w:snapToGrid w:val="0"/>
        <w:spacing w:line="288" w:lineRule="auto"/>
        <w:ind w:firstLine="1040"/>
        <w:rPr>
          <w:rFonts w:eastAsia="仿宋_GB2312"/>
          <w:color w:val="auto"/>
          <w:sz w:val="36"/>
          <w:szCs w:val="36"/>
          <w:highlight w:val="none"/>
        </w:rPr>
      </w:pPr>
    </w:p>
    <w:p w14:paraId="78F22CFA">
      <w:pPr>
        <w:adjustRightInd w:val="0"/>
        <w:snapToGrid w:val="0"/>
        <w:spacing w:line="288" w:lineRule="auto"/>
        <w:ind w:firstLine="1040"/>
        <w:rPr>
          <w:rFonts w:eastAsia="仿宋_GB2312"/>
          <w:color w:val="auto"/>
          <w:sz w:val="36"/>
          <w:szCs w:val="36"/>
          <w:highlight w:val="none"/>
        </w:rPr>
      </w:pPr>
    </w:p>
    <w:p w14:paraId="5763F30C">
      <w:pPr>
        <w:adjustRightInd w:val="0"/>
        <w:snapToGrid w:val="0"/>
        <w:spacing w:line="288" w:lineRule="auto"/>
        <w:ind w:firstLine="1040"/>
        <w:rPr>
          <w:rFonts w:eastAsia="仿宋_GB2312"/>
          <w:color w:val="auto"/>
          <w:sz w:val="36"/>
          <w:szCs w:val="36"/>
          <w:highlight w:val="none"/>
        </w:rPr>
      </w:pPr>
    </w:p>
    <w:p w14:paraId="079AC972">
      <w:pPr>
        <w:adjustRightInd w:val="0"/>
        <w:snapToGrid w:val="0"/>
        <w:spacing w:line="288" w:lineRule="auto"/>
        <w:jc w:val="center"/>
        <w:rPr>
          <w:rFonts w:eastAsia="楷体_GB2312"/>
          <w:color w:val="auto"/>
          <w:sz w:val="36"/>
          <w:szCs w:val="36"/>
          <w:highlight w:val="none"/>
        </w:rPr>
      </w:pPr>
      <w:r>
        <w:rPr>
          <w:rFonts w:eastAsia="楷体_GB2312"/>
          <w:color w:val="auto"/>
          <w:sz w:val="36"/>
          <w:szCs w:val="36"/>
          <w:highlight w:val="none"/>
        </w:rPr>
        <w:t>中华人民共和国生态环境部制</w:t>
      </w:r>
    </w:p>
    <w:p w14:paraId="1F0906D1">
      <w:pPr>
        <w:adjustRightInd w:val="0"/>
        <w:snapToGrid w:val="0"/>
        <w:spacing w:line="288" w:lineRule="auto"/>
        <w:rPr>
          <w:rFonts w:hint="eastAsia" w:eastAsia="仿宋_GB2312"/>
          <w:color w:val="auto"/>
          <w:sz w:val="36"/>
          <w:szCs w:val="36"/>
          <w:highlight w:val="none"/>
          <w:lang w:eastAsia="zh-CN"/>
        </w:rPr>
        <w:sectPr>
          <w:footerReference r:id="rId3" w:type="default"/>
          <w:pgSz w:w="11906" w:h="16838"/>
          <w:pgMar w:top="1701" w:right="1474" w:bottom="1701" w:left="1474" w:header="851" w:footer="1077" w:gutter="0"/>
          <w:pgBorders>
            <w:top w:val="none" w:sz="0" w:space="0"/>
            <w:left w:val="none" w:sz="0" w:space="0"/>
            <w:bottom w:val="none" w:sz="0" w:space="0"/>
            <w:right w:val="none" w:sz="0" w:space="0"/>
          </w:pgBorders>
          <w:cols w:space="720" w:num="1"/>
          <w:docGrid w:linePitch="312" w:charSpace="0"/>
        </w:sectPr>
      </w:pPr>
      <w:r>
        <w:rPr>
          <w:rFonts w:hint="eastAsia" w:eastAsia="仿宋_GB2312"/>
          <w:color w:val="auto"/>
          <w:sz w:val="36"/>
          <w:szCs w:val="36"/>
          <w:highlight w:val="none"/>
          <w:lang w:eastAsia="zh-CN"/>
        </w:rPr>
        <w:drawing>
          <wp:inline distT="0" distB="0" distL="114300" distR="114300">
            <wp:extent cx="5683250" cy="8041640"/>
            <wp:effectExtent l="0" t="0" r="12700" b="16510"/>
            <wp:docPr id="79" name="图片 79" descr="建设项目环境影响报告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建设项目环境影响报告表_00"/>
                    <pic:cNvPicPr>
                      <a:picLocks noChangeAspect="1"/>
                    </pic:cNvPicPr>
                  </pic:nvPicPr>
                  <pic:blipFill>
                    <a:blip r:embed="rId7"/>
                    <a:stretch>
                      <a:fillRect/>
                    </a:stretch>
                  </pic:blipFill>
                  <pic:spPr>
                    <a:xfrm>
                      <a:off x="0" y="0"/>
                      <a:ext cx="5683250" cy="8041640"/>
                    </a:xfrm>
                    <a:prstGeom prst="rect">
                      <a:avLst/>
                    </a:prstGeom>
                  </pic:spPr>
                </pic:pic>
              </a:graphicData>
            </a:graphic>
          </wp:inline>
        </w:drawing>
      </w:r>
      <w:r>
        <w:rPr>
          <w:rFonts w:hint="eastAsia" w:eastAsia="仿宋_GB2312"/>
          <w:color w:val="auto"/>
          <w:sz w:val="36"/>
          <w:szCs w:val="36"/>
          <w:highlight w:val="none"/>
          <w:lang w:eastAsia="zh-CN"/>
        </w:rPr>
        <w:drawing>
          <wp:inline distT="0" distB="0" distL="114300" distR="114300">
            <wp:extent cx="5683250" cy="8041640"/>
            <wp:effectExtent l="0" t="0" r="12700" b="16510"/>
            <wp:docPr id="80" name="图片 80" descr="编制人员情况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编制人员情况表_00"/>
                    <pic:cNvPicPr>
                      <a:picLocks noChangeAspect="1"/>
                    </pic:cNvPicPr>
                  </pic:nvPicPr>
                  <pic:blipFill>
                    <a:blip r:embed="rId8"/>
                    <a:stretch>
                      <a:fillRect/>
                    </a:stretch>
                  </pic:blipFill>
                  <pic:spPr>
                    <a:xfrm>
                      <a:off x="0" y="0"/>
                      <a:ext cx="5683250" cy="8041640"/>
                    </a:xfrm>
                    <a:prstGeom prst="rect">
                      <a:avLst/>
                    </a:prstGeom>
                  </pic:spPr>
                </pic:pic>
              </a:graphicData>
            </a:graphic>
          </wp:inline>
        </w:drawing>
      </w:r>
      <w:bookmarkStart w:id="82" w:name="_GoBack"/>
      <w:bookmarkEnd w:id="82"/>
    </w:p>
    <w:p w14:paraId="449A56EE">
      <w:pPr>
        <w:pStyle w:val="22"/>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目</w:t>
      </w:r>
      <w:r>
        <w:rPr>
          <w:rFonts w:hint="eastAsia" w:ascii="Times New Roman" w:hAnsi="Times New Roman" w:eastAsia="黑体"/>
          <w:snapToGrid w:val="0"/>
          <w:color w:val="auto"/>
          <w:sz w:val="30"/>
          <w:szCs w:val="30"/>
          <w:highlight w:val="none"/>
        </w:rPr>
        <w:t xml:space="preserve"> </w:t>
      </w:r>
      <w:r>
        <w:rPr>
          <w:rFonts w:ascii="Times New Roman" w:hAnsi="Times New Roman" w:eastAsia="黑体"/>
          <w:snapToGrid w:val="0"/>
          <w:color w:val="auto"/>
          <w:sz w:val="30"/>
          <w:szCs w:val="30"/>
          <w:highlight w:val="none"/>
        </w:rPr>
        <w:t xml:space="preserve"> 录</w:t>
      </w:r>
    </w:p>
    <w:sdt>
      <w:sdtPr>
        <w:rPr>
          <w:color w:val="auto"/>
          <w:highlight w:val="none"/>
          <w:lang w:val="zh-CN"/>
        </w:rPr>
        <w:id w:val="-639503249"/>
        <w:docPartObj>
          <w:docPartGallery w:val="Table of Contents"/>
          <w:docPartUnique/>
        </w:docPartObj>
      </w:sdtPr>
      <w:sdtEndPr>
        <w:rPr>
          <w:b/>
          <w:bCs/>
          <w:color w:val="auto"/>
          <w:sz w:val="21"/>
          <w:szCs w:val="21"/>
          <w:highlight w:val="none"/>
          <w:lang w:val="zh-CN"/>
        </w:rPr>
      </w:sdtEndPr>
      <w:sdtContent>
        <w:p w14:paraId="2E8E8645">
          <w:pPr>
            <w:pStyle w:val="1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color w:val="auto"/>
              <w:kern w:val="2"/>
              <w:sz w:val="21"/>
              <w:szCs w:val="21"/>
              <w:highlight w:val="none"/>
              <w:lang w:val="zh-CN" w:eastAsia="zh-CN" w:bidi="ar-SA"/>
            </w:rPr>
          </w:pPr>
          <w:r>
            <w:rPr>
              <w:color w:val="auto"/>
              <w:sz w:val="21"/>
              <w:szCs w:val="21"/>
              <w:highlight w:val="none"/>
            </w:rPr>
            <w:fldChar w:fldCharType="begin"/>
          </w:r>
          <w:r>
            <w:rPr>
              <w:color w:val="auto"/>
              <w:sz w:val="21"/>
              <w:szCs w:val="21"/>
              <w:highlight w:val="none"/>
            </w:rPr>
            <w:instrText xml:space="preserve"> TOC \o "1-3" \h \z \u </w:instrText>
          </w:r>
          <w:r>
            <w:rPr>
              <w:color w:val="auto"/>
              <w:sz w:val="21"/>
              <w:szCs w:val="21"/>
              <w:highlight w:val="none"/>
            </w:rPr>
            <w:fldChar w:fldCharType="separate"/>
          </w:r>
        </w:p>
        <w:p w14:paraId="3D711A21">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_Toc15347 </w:instrText>
          </w:r>
          <w:r>
            <w:rPr>
              <w:szCs w:val="21"/>
              <w:highlight w:val="none"/>
              <w:lang w:val="zh-CN"/>
            </w:rPr>
            <w:fldChar w:fldCharType="separate"/>
          </w:r>
          <w:r>
            <w:rPr>
              <w:rFonts w:ascii="Times New Roman" w:hAnsi="Times New Roman" w:eastAsia="黑体" w:cs="Times New Roman"/>
              <w:snapToGrid w:val="0"/>
              <w:szCs w:val="30"/>
              <w:highlight w:val="none"/>
            </w:rPr>
            <w:t>一、建设项目基本情况</w:t>
          </w:r>
          <w:r>
            <w:tab/>
          </w:r>
          <w:r>
            <w:fldChar w:fldCharType="begin"/>
          </w:r>
          <w:r>
            <w:instrText xml:space="preserve"> PAGEREF _Toc15347 \h </w:instrText>
          </w:r>
          <w:r>
            <w:fldChar w:fldCharType="separate"/>
          </w:r>
          <w:r>
            <w:t>1</w:t>
          </w:r>
          <w:r>
            <w:fldChar w:fldCharType="end"/>
          </w:r>
          <w:r>
            <w:rPr>
              <w:color w:val="auto"/>
              <w:szCs w:val="21"/>
              <w:highlight w:val="none"/>
              <w:lang w:val="zh-CN"/>
            </w:rPr>
            <w:fldChar w:fldCharType="end"/>
          </w:r>
        </w:p>
        <w:p w14:paraId="4DF819DB">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_Toc13562 </w:instrText>
          </w:r>
          <w:r>
            <w:rPr>
              <w:szCs w:val="21"/>
              <w:highlight w:val="none"/>
              <w:lang w:val="zh-CN"/>
            </w:rPr>
            <w:fldChar w:fldCharType="separate"/>
          </w:r>
          <w:r>
            <w:rPr>
              <w:rFonts w:ascii="Times New Roman" w:hAnsi="Times New Roman" w:eastAsia="黑体"/>
              <w:snapToGrid w:val="0"/>
              <w:szCs w:val="30"/>
              <w:highlight w:val="none"/>
            </w:rPr>
            <w:t>二、建设内容</w:t>
          </w:r>
          <w:r>
            <w:tab/>
          </w:r>
          <w:r>
            <w:fldChar w:fldCharType="begin"/>
          </w:r>
          <w:r>
            <w:instrText xml:space="preserve"> PAGEREF _Toc13562 \h </w:instrText>
          </w:r>
          <w:r>
            <w:fldChar w:fldCharType="separate"/>
          </w:r>
          <w:r>
            <w:t>18</w:t>
          </w:r>
          <w:r>
            <w:fldChar w:fldCharType="end"/>
          </w:r>
          <w:r>
            <w:rPr>
              <w:color w:val="auto"/>
              <w:szCs w:val="21"/>
              <w:highlight w:val="none"/>
              <w:lang w:val="zh-CN"/>
            </w:rPr>
            <w:fldChar w:fldCharType="end"/>
          </w:r>
        </w:p>
        <w:p w14:paraId="08565600">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_Toc30134 </w:instrText>
          </w:r>
          <w:r>
            <w:rPr>
              <w:szCs w:val="21"/>
              <w:highlight w:val="none"/>
              <w:lang w:val="zh-CN"/>
            </w:rPr>
            <w:fldChar w:fldCharType="separate"/>
          </w:r>
          <w:r>
            <w:rPr>
              <w:rFonts w:ascii="Times New Roman" w:hAnsi="Times New Roman" w:eastAsia="黑体"/>
              <w:snapToGrid w:val="0"/>
              <w:szCs w:val="30"/>
              <w:highlight w:val="none"/>
            </w:rPr>
            <w:t>三、生态环境现状、保护目标及评价标准</w:t>
          </w:r>
          <w:r>
            <w:tab/>
          </w:r>
          <w:r>
            <w:fldChar w:fldCharType="begin"/>
          </w:r>
          <w:r>
            <w:instrText xml:space="preserve"> PAGEREF _Toc30134 \h </w:instrText>
          </w:r>
          <w:r>
            <w:fldChar w:fldCharType="separate"/>
          </w:r>
          <w:r>
            <w:t>22</w:t>
          </w:r>
          <w:r>
            <w:fldChar w:fldCharType="end"/>
          </w:r>
          <w:r>
            <w:rPr>
              <w:color w:val="auto"/>
              <w:szCs w:val="21"/>
              <w:highlight w:val="none"/>
              <w:lang w:val="zh-CN"/>
            </w:rPr>
            <w:fldChar w:fldCharType="end"/>
          </w:r>
        </w:p>
        <w:p w14:paraId="602768E2">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_Toc6651 </w:instrText>
          </w:r>
          <w:r>
            <w:rPr>
              <w:szCs w:val="21"/>
              <w:highlight w:val="none"/>
              <w:lang w:val="zh-CN"/>
            </w:rPr>
            <w:fldChar w:fldCharType="separate"/>
          </w:r>
          <w:r>
            <w:rPr>
              <w:rFonts w:ascii="Times New Roman" w:hAnsi="Times New Roman" w:eastAsia="黑体"/>
              <w:snapToGrid w:val="0"/>
              <w:szCs w:val="30"/>
              <w:highlight w:val="none"/>
            </w:rPr>
            <w:t>四、生态环境影响分析</w:t>
          </w:r>
          <w:r>
            <w:tab/>
          </w:r>
          <w:r>
            <w:fldChar w:fldCharType="begin"/>
          </w:r>
          <w:r>
            <w:instrText xml:space="preserve"> PAGEREF _Toc6651 \h </w:instrText>
          </w:r>
          <w:r>
            <w:fldChar w:fldCharType="separate"/>
          </w:r>
          <w:r>
            <w:t>38</w:t>
          </w:r>
          <w:r>
            <w:fldChar w:fldCharType="end"/>
          </w:r>
          <w:r>
            <w:rPr>
              <w:color w:val="auto"/>
              <w:szCs w:val="21"/>
              <w:highlight w:val="none"/>
              <w:lang w:val="zh-CN"/>
            </w:rPr>
            <w:fldChar w:fldCharType="end"/>
          </w:r>
        </w:p>
        <w:p w14:paraId="56389E99">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_Toc31726 </w:instrText>
          </w:r>
          <w:r>
            <w:rPr>
              <w:szCs w:val="21"/>
              <w:highlight w:val="none"/>
              <w:lang w:val="zh-CN"/>
            </w:rPr>
            <w:fldChar w:fldCharType="separate"/>
          </w:r>
          <w:r>
            <w:rPr>
              <w:rFonts w:ascii="Times New Roman" w:hAnsi="Times New Roman" w:eastAsia="黑体"/>
              <w:snapToGrid w:val="0"/>
              <w:szCs w:val="30"/>
              <w:highlight w:val="none"/>
            </w:rPr>
            <w:t>五、主要生态环境保护措施</w:t>
          </w:r>
          <w:r>
            <w:tab/>
          </w:r>
          <w:r>
            <w:fldChar w:fldCharType="begin"/>
          </w:r>
          <w:r>
            <w:instrText xml:space="preserve"> PAGEREF _Toc31726 \h </w:instrText>
          </w:r>
          <w:r>
            <w:fldChar w:fldCharType="separate"/>
          </w:r>
          <w:r>
            <w:t>47</w:t>
          </w:r>
          <w:r>
            <w:fldChar w:fldCharType="end"/>
          </w:r>
          <w:r>
            <w:rPr>
              <w:color w:val="auto"/>
              <w:szCs w:val="21"/>
              <w:highlight w:val="none"/>
              <w:lang w:val="zh-CN"/>
            </w:rPr>
            <w:fldChar w:fldCharType="end"/>
          </w:r>
        </w:p>
        <w:p w14:paraId="13CF2C9F">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_Toc9029 </w:instrText>
          </w:r>
          <w:r>
            <w:rPr>
              <w:szCs w:val="21"/>
              <w:highlight w:val="none"/>
              <w:lang w:val="zh-CN"/>
            </w:rPr>
            <w:fldChar w:fldCharType="separate"/>
          </w:r>
          <w:r>
            <w:rPr>
              <w:rFonts w:ascii="Times New Roman" w:hAnsi="Times New Roman" w:eastAsia="黑体"/>
              <w:snapToGrid w:val="0"/>
              <w:szCs w:val="30"/>
              <w:highlight w:val="none"/>
            </w:rPr>
            <w:t>六、生态环境保护措施监督检查清单</w:t>
          </w:r>
          <w:r>
            <w:tab/>
          </w:r>
          <w:r>
            <w:fldChar w:fldCharType="begin"/>
          </w:r>
          <w:r>
            <w:instrText xml:space="preserve"> PAGEREF _Toc9029 \h </w:instrText>
          </w:r>
          <w:r>
            <w:fldChar w:fldCharType="separate"/>
          </w:r>
          <w:r>
            <w:t>58</w:t>
          </w:r>
          <w:r>
            <w:fldChar w:fldCharType="end"/>
          </w:r>
          <w:r>
            <w:rPr>
              <w:color w:val="auto"/>
              <w:szCs w:val="21"/>
              <w:highlight w:val="none"/>
              <w:lang w:val="zh-CN"/>
            </w:rPr>
            <w:fldChar w:fldCharType="end"/>
          </w:r>
        </w:p>
        <w:p w14:paraId="011CA440">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_Toc22876 </w:instrText>
          </w:r>
          <w:r>
            <w:rPr>
              <w:szCs w:val="21"/>
              <w:highlight w:val="none"/>
              <w:lang w:val="zh-CN"/>
            </w:rPr>
            <w:fldChar w:fldCharType="separate"/>
          </w:r>
          <w:r>
            <w:rPr>
              <w:rFonts w:ascii="Times New Roman" w:hAnsi="Times New Roman" w:eastAsia="黑体"/>
              <w:snapToGrid w:val="0"/>
              <w:szCs w:val="30"/>
              <w:highlight w:val="none"/>
            </w:rPr>
            <w:t>七、结论</w:t>
          </w:r>
          <w:r>
            <w:tab/>
          </w:r>
          <w:r>
            <w:fldChar w:fldCharType="begin"/>
          </w:r>
          <w:r>
            <w:instrText xml:space="preserve"> PAGEREF _Toc22876 \h </w:instrText>
          </w:r>
          <w:r>
            <w:fldChar w:fldCharType="separate"/>
          </w:r>
          <w:r>
            <w:t>61</w:t>
          </w:r>
          <w:r>
            <w:fldChar w:fldCharType="end"/>
          </w:r>
          <w:r>
            <w:rPr>
              <w:color w:val="auto"/>
              <w:szCs w:val="21"/>
              <w:highlight w:val="none"/>
              <w:lang w:val="zh-CN"/>
            </w:rPr>
            <w:fldChar w:fldCharType="end"/>
          </w:r>
        </w:p>
        <w:p w14:paraId="6CD09CC9">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_Toc14257 </w:instrText>
          </w:r>
          <w:r>
            <w:rPr>
              <w:szCs w:val="21"/>
              <w:highlight w:val="none"/>
              <w:lang w:val="zh-CN"/>
            </w:rPr>
            <w:fldChar w:fldCharType="separate"/>
          </w:r>
          <w:r>
            <w:rPr>
              <w:rFonts w:ascii="Times New Roman" w:hAnsi="Times New Roman" w:eastAsia="黑体"/>
              <w:snapToGrid w:val="0"/>
              <w:szCs w:val="32"/>
              <w:highlight w:val="none"/>
            </w:rPr>
            <w:t>附图</w:t>
          </w:r>
          <w:r>
            <w:tab/>
          </w:r>
          <w:r>
            <w:fldChar w:fldCharType="begin"/>
          </w:r>
          <w:r>
            <w:instrText xml:space="preserve"> PAGEREF _Toc14257 \h </w:instrText>
          </w:r>
          <w:r>
            <w:fldChar w:fldCharType="separate"/>
          </w:r>
          <w:r>
            <w:t>62</w:t>
          </w:r>
          <w:r>
            <w:fldChar w:fldCharType="end"/>
          </w:r>
          <w:r>
            <w:rPr>
              <w:color w:val="auto"/>
              <w:szCs w:val="21"/>
              <w:highlight w:val="none"/>
              <w:lang w:val="zh-CN"/>
            </w:rPr>
            <w:fldChar w:fldCharType="end"/>
          </w:r>
        </w:p>
        <w:p w14:paraId="71D1EBEA">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_Toc19476 </w:instrText>
          </w:r>
          <w:r>
            <w:rPr>
              <w:szCs w:val="21"/>
              <w:highlight w:val="none"/>
              <w:lang w:val="zh-CN"/>
            </w:rPr>
            <w:fldChar w:fldCharType="separate"/>
          </w:r>
          <w:r>
            <w:rPr>
              <w:rFonts w:ascii="Times New Roman" w:hAnsi="Times New Roman" w:eastAsia="黑体"/>
              <w:snapToGrid w:val="0"/>
              <w:szCs w:val="21"/>
              <w:highlight w:val="none"/>
            </w:rPr>
            <w:t>附图</w:t>
          </w:r>
          <w:r>
            <w:rPr>
              <w:rFonts w:hint="eastAsia" w:ascii="Times New Roman" w:hAnsi="Times New Roman" w:eastAsia="黑体"/>
              <w:snapToGrid w:val="0"/>
              <w:szCs w:val="21"/>
              <w:highlight w:val="none"/>
            </w:rPr>
            <w:t>1</w:t>
          </w:r>
          <w:r>
            <w:rPr>
              <w:rFonts w:ascii="Times New Roman" w:hAnsi="Times New Roman" w:eastAsia="黑体"/>
              <w:snapToGrid w:val="0"/>
              <w:szCs w:val="21"/>
              <w:highlight w:val="none"/>
            </w:rPr>
            <w:t xml:space="preserve"> </w:t>
          </w:r>
          <w:r>
            <w:rPr>
              <w:rFonts w:hint="eastAsia" w:ascii="Times New Roman" w:hAnsi="Times New Roman" w:eastAsia="黑体"/>
              <w:snapToGrid w:val="0"/>
              <w:szCs w:val="21"/>
              <w:highlight w:val="none"/>
            </w:rPr>
            <w:t>地理位置图</w:t>
          </w:r>
          <w:r>
            <w:tab/>
          </w:r>
          <w:r>
            <w:fldChar w:fldCharType="begin"/>
          </w:r>
          <w:r>
            <w:instrText xml:space="preserve"> PAGEREF _Toc19476 \h </w:instrText>
          </w:r>
          <w:r>
            <w:fldChar w:fldCharType="separate"/>
          </w:r>
          <w:r>
            <w:t>62</w:t>
          </w:r>
          <w:r>
            <w:fldChar w:fldCharType="end"/>
          </w:r>
          <w:r>
            <w:rPr>
              <w:color w:val="auto"/>
              <w:szCs w:val="21"/>
              <w:highlight w:val="none"/>
              <w:lang w:val="zh-CN"/>
            </w:rPr>
            <w:fldChar w:fldCharType="end"/>
          </w:r>
        </w:p>
        <w:p w14:paraId="2AB07413">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_Toc11576 </w:instrText>
          </w:r>
          <w:r>
            <w:rPr>
              <w:szCs w:val="21"/>
              <w:highlight w:val="none"/>
              <w:lang w:val="zh-CN"/>
            </w:rPr>
            <w:fldChar w:fldCharType="separate"/>
          </w:r>
          <w:r>
            <w:rPr>
              <w:rFonts w:ascii="Times New Roman" w:hAnsi="Times New Roman" w:eastAsia="黑体"/>
              <w:snapToGrid w:val="0"/>
              <w:szCs w:val="21"/>
              <w:highlight w:val="none"/>
            </w:rPr>
            <w:t xml:space="preserve">附图2 </w:t>
          </w:r>
          <w:r>
            <w:rPr>
              <w:rFonts w:hint="eastAsia" w:ascii="Times New Roman" w:hAnsi="Times New Roman" w:eastAsia="黑体"/>
              <w:snapToGrid w:val="0"/>
              <w:szCs w:val="21"/>
              <w:highlight w:val="none"/>
            </w:rPr>
            <w:t>生态环境管控单元分布图</w:t>
          </w:r>
          <w:r>
            <w:tab/>
          </w:r>
          <w:r>
            <w:fldChar w:fldCharType="begin"/>
          </w:r>
          <w:r>
            <w:instrText xml:space="preserve"> PAGEREF _Toc11576 \h </w:instrText>
          </w:r>
          <w:r>
            <w:fldChar w:fldCharType="separate"/>
          </w:r>
          <w:r>
            <w:t>63</w:t>
          </w:r>
          <w:r>
            <w:fldChar w:fldCharType="end"/>
          </w:r>
          <w:r>
            <w:rPr>
              <w:color w:val="auto"/>
              <w:szCs w:val="21"/>
              <w:highlight w:val="none"/>
              <w:lang w:val="zh-CN"/>
            </w:rPr>
            <w:fldChar w:fldCharType="end"/>
          </w:r>
        </w:p>
        <w:p w14:paraId="3FE0F023">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_Toc27023 </w:instrText>
          </w:r>
          <w:r>
            <w:rPr>
              <w:szCs w:val="21"/>
              <w:highlight w:val="none"/>
              <w:lang w:val="zh-CN"/>
            </w:rPr>
            <w:fldChar w:fldCharType="separate"/>
          </w:r>
          <w:r>
            <w:rPr>
              <w:rFonts w:ascii="Times New Roman" w:hAnsi="Times New Roman" w:eastAsia="黑体"/>
              <w:snapToGrid w:val="0"/>
              <w:szCs w:val="21"/>
              <w:highlight w:val="none"/>
            </w:rPr>
            <w:t xml:space="preserve">附图3 </w:t>
          </w:r>
          <w:r>
            <w:rPr>
              <w:rFonts w:hint="eastAsia" w:ascii="Times New Roman" w:hAnsi="Times New Roman" w:eastAsia="黑体"/>
              <w:snapToGrid w:val="0"/>
              <w:szCs w:val="21"/>
              <w:highlight w:val="none"/>
            </w:rPr>
            <w:t>工程总体布置图</w:t>
          </w:r>
          <w:r>
            <w:tab/>
          </w:r>
          <w:r>
            <w:fldChar w:fldCharType="begin"/>
          </w:r>
          <w:r>
            <w:instrText xml:space="preserve"> PAGEREF _Toc27023 \h </w:instrText>
          </w:r>
          <w:r>
            <w:fldChar w:fldCharType="separate"/>
          </w:r>
          <w:r>
            <w:t>64</w:t>
          </w:r>
          <w:r>
            <w:fldChar w:fldCharType="end"/>
          </w:r>
          <w:r>
            <w:rPr>
              <w:color w:val="auto"/>
              <w:szCs w:val="21"/>
              <w:highlight w:val="none"/>
              <w:lang w:val="zh-CN"/>
            </w:rPr>
            <w:fldChar w:fldCharType="end"/>
          </w:r>
        </w:p>
        <w:p w14:paraId="7024CADE">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_Toc9522 </w:instrText>
          </w:r>
          <w:r>
            <w:rPr>
              <w:szCs w:val="21"/>
              <w:highlight w:val="none"/>
              <w:lang w:val="zh-CN"/>
            </w:rPr>
            <w:fldChar w:fldCharType="separate"/>
          </w:r>
          <w:r>
            <w:rPr>
              <w:rFonts w:hint="eastAsia" w:ascii="Times New Roman" w:hAnsi="Times New Roman" w:eastAsia="黑体"/>
              <w:snapToGrid w:val="0"/>
              <w:szCs w:val="21"/>
              <w:highlight w:val="none"/>
            </w:rPr>
            <w:t>附图</w:t>
          </w:r>
          <w:r>
            <w:rPr>
              <w:rFonts w:ascii="Times New Roman" w:hAnsi="Times New Roman" w:eastAsia="黑体"/>
              <w:snapToGrid w:val="0"/>
              <w:szCs w:val="21"/>
              <w:highlight w:val="none"/>
            </w:rPr>
            <w:t>4</w:t>
          </w:r>
          <w:r>
            <w:rPr>
              <w:rFonts w:hint="eastAsia" w:ascii="Times New Roman" w:hAnsi="Times New Roman" w:eastAsia="黑体"/>
              <w:snapToGrid w:val="0"/>
              <w:szCs w:val="21"/>
              <w:highlight w:val="none"/>
            </w:rPr>
            <w:t xml:space="preserve"> 生态环境监测布点图</w:t>
          </w:r>
          <w:r>
            <w:tab/>
          </w:r>
          <w:r>
            <w:fldChar w:fldCharType="begin"/>
          </w:r>
          <w:r>
            <w:instrText xml:space="preserve"> PAGEREF _Toc9522 \h </w:instrText>
          </w:r>
          <w:r>
            <w:fldChar w:fldCharType="separate"/>
          </w:r>
          <w:r>
            <w:t>66</w:t>
          </w:r>
          <w:r>
            <w:fldChar w:fldCharType="end"/>
          </w:r>
          <w:r>
            <w:rPr>
              <w:color w:val="auto"/>
              <w:szCs w:val="21"/>
              <w:highlight w:val="none"/>
              <w:lang w:val="zh-CN"/>
            </w:rPr>
            <w:fldChar w:fldCharType="end"/>
          </w:r>
        </w:p>
        <w:p w14:paraId="2888C738">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_Toc12422 </w:instrText>
          </w:r>
          <w:r>
            <w:rPr>
              <w:szCs w:val="21"/>
              <w:highlight w:val="none"/>
              <w:lang w:val="zh-CN"/>
            </w:rPr>
            <w:fldChar w:fldCharType="separate"/>
          </w:r>
          <w:r>
            <w:rPr>
              <w:rFonts w:ascii="Times New Roman" w:hAnsi="Times New Roman" w:eastAsia="黑体"/>
              <w:snapToGrid w:val="0"/>
              <w:szCs w:val="21"/>
              <w:highlight w:val="none"/>
            </w:rPr>
            <w:t xml:space="preserve">附图6 </w:t>
          </w:r>
          <w:r>
            <w:rPr>
              <w:rFonts w:hint="eastAsia" w:ascii="Times New Roman" w:hAnsi="Times New Roman" w:eastAsia="黑体"/>
              <w:snapToGrid w:val="0"/>
              <w:szCs w:val="21"/>
              <w:highlight w:val="none"/>
            </w:rPr>
            <w:t>生态环境保护措施示意图</w:t>
          </w:r>
          <w:r>
            <w:tab/>
          </w:r>
          <w:r>
            <w:fldChar w:fldCharType="begin"/>
          </w:r>
          <w:r>
            <w:instrText xml:space="preserve"> PAGEREF _Toc12422 \h </w:instrText>
          </w:r>
          <w:r>
            <w:fldChar w:fldCharType="separate"/>
          </w:r>
          <w:r>
            <w:t>67</w:t>
          </w:r>
          <w:r>
            <w:fldChar w:fldCharType="end"/>
          </w:r>
          <w:r>
            <w:rPr>
              <w:color w:val="auto"/>
              <w:szCs w:val="21"/>
              <w:highlight w:val="none"/>
              <w:lang w:val="zh-CN"/>
            </w:rPr>
            <w:fldChar w:fldCharType="end"/>
          </w:r>
        </w:p>
        <w:p w14:paraId="1AD5BA49">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_Toc25409 </w:instrText>
          </w:r>
          <w:r>
            <w:rPr>
              <w:szCs w:val="21"/>
              <w:highlight w:val="none"/>
              <w:lang w:val="zh-CN"/>
            </w:rPr>
            <w:fldChar w:fldCharType="separate"/>
          </w:r>
          <w:r>
            <w:rPr>
              <w:rFonts w:ascii="Times New Roman" w:hAnsi="Times New Roman" w:eastAsia="黑体"/>
              <w:snapToGrid w:val="0"/>
              <w:szCs w:val="21"/>
              <w:highlight w:val="none"/>
            </w:rPr>
            <w:t xml:space="preserve">附图5 </w:t>
          </w:r>
          <w:r>
            <w:rPr>
              <w:rFonts w:hint="eastAsia" w:ascii="Times New Roman" w:hAnsi="Times New Roman" w:eastAsia="黑体"/>
              <w:snapToGrid w:val="0"/>
              <w:szCs w:val="21"/>
              <w:highlight w:val="none"/>
            </w:rPr>
            <w:t>项目区域地表水系图</w:t>
          </w:r>
          <w:r>
            <w:tab/>
          </w:r>
          <w:r>
            <w:fldChar w:fldCharType="begin"/>
          </w:r>
          <w:r>
            <w:instrText xml:space="preserve"> PAGEREF _Toc25409 \h </w:instrText>
          </w:r>
          <w:r>
            <w:fldChar w:fldCharType="separate"/>
          </w:r>
          <w:r>
            <w:t>68</w:t>
          </w:r>
          <w:r>
            <w:fldChar w:fldCharType="end"/>
          </w:r>
          <w:r>
            <w:rPr>
              <w:color w:val="auto"/>
              <w:szCs w:val="21"/>
              <w:highlight w:val="none"/>
              <w:lang w:val="zh-CN"/>
            </w:rPr>
            <w:fldChar w:fldCharType="end"/>
          </w:r>
        </w:p>
        <w:p w14:paraId="2B39DD95">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_Toc24215 </w:instrText>
          </w:r>
          <w:r>
            <w:rPr>
              <w:szCs w:val="21"/>
              <w:highlight w:val="none"/>
              <w:lang w:val="zh-CN"/>
            </w:rPr>
            <w:fldChar w:fldCharType="separate"/>
          </w:r>
          <w:r>
            <w:rPr>
              <w:rFonts w:ascii="Times New Roman" w:hAnsi="Times New Roman" w:eastAsia="黑体"/>
              <w:snapToGrid w:val="0"/>
              <w:szCs w:val="21"/>
              <w:highlight w:val="none"/>
            </w:rPr>
            <w:t xml:space="preserve">附图6 </w:t>
          </w:r>
          <w:r>
            <w:rPr>
              <w:rFonts w:hint="eastAsia" w:ascii="Times New Roman" w:hAnsi="Times New Roman" w:eastAsia="黑体"/>
              <w:snapToGrid w:val="0"/>
              <w:szCs w:val="21"/>
              <w:highlight w:val="none"/>
            </w:rPr>
            <w:t>典型生态措施设计图</w:t>
          </w:r>
          <w:r>
            <w:tab/>
          </w:r>
          <w:r>
            <w:fldChar w:fldCharType="begin"/>
          </w:r>
          <w:r>
            <w:instrText xml:space="preserve"> PAGEREF _Toc24215 \h </w:instrText>
          </w:r>
          <w:r>
            <w:fldChar w:fldCharType="separate"/>
          </w:r>
          <w:r>
            <w:t>70</w:t>
          </w:r>
          <w:r>
            <w:fldChar w:fldCharType="end"/>
          </w:r>
          <w:r>
            <w:rPr>
              <w:color w:val="auto"/>
              <w:szCs w:val="21"/>
              <w:highlight w:val="none"/>
              <w:lang w:val="zh-CN"/>
            </w:rPr>
            <w:fldChar w:fldCharType="end"/>
          </w:r>
        </w:p>
        <w:p w14:paraId="3BB7DDD0">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_Toc15604 </w:instrText>
          </w:r>
          <w:r>
            <w:rPr>
              <w:szCs w:val="21"/>
              <w:highlight w:val="none"/>
              <w:lang w:val="zh-CN"/>
            </w:rPr>
            <w:fldChar w:fldCharType="separate"/>
          </w:r>
          <w:r>
            <w:rPr>
              <w:rFonts w:hint="default" w:ascii="Times New Roman" w:hAnsi="Times New Roman" w:eastAsia="黑体" w:cs="Times New Roman"/>
              <w:snapToGrid w:val="0"/>
              <w:szCs w:val="21"/>
              <w:highlight w:val="none"/>
              <w:lang w:val="en-US" w:eastAsia="zh-CN"/>
            </w:rPr>
            <w:t>附图</w:t>
          </w:r>
          <w:r>
            <w:rPr>
              <w:rFonts w:hint="eastAsia" w:ascii="Times New Roman" w:hAnsi="Times New Roman" w:eastAsia="黑体" w:cs="Times New Roman"/>
              <w:snapToGrid w:val="0"/>
              <w:szCs w:val="21"/>
              <w:highlight w:val="none"/>
              <w:lang w:val="en-US" w:eastAsia="zh-CN"/>
            </w:rPr>
            <w:t xml:space="preserve">7 </w:t>
          </w:r>
          <w:r>
            <w:rPr>
              <w:rFonts w:hint="default" w:ascii="Times New Roman" w:hAnsi="Times New Roman" w:eastAsia="黑体" w:cs="Times New Roman"/>
              <w:snapToGrid w:val="0"/>
              <w:szCs w:val="21"/>
              <w:highlight w:val="none"/>
              <w:lang w:val="en-US" w:eastAsia="zh-CN"/>
            </w:rPr>
            <w:t>黑龙江饶河东北黑蜂国家级自然保护区功能区划图</w:t>
          </w:r>
          <w:r>
            <w:tab/>
          </w:r>
          <w:r>
            <w:fldChar w:fldCharType="begin"/>
          </w:r>
          <w:r>
            <w:instrText xml:space="preserve"> PAGEREF _Toc15604 \h </w:instrText>
          </w:r>
          <w:r>
            <w:fldChar w:fldCharType="separate"/>
          </w:r>
          <w:r>
            <w:t>73</w:t>
          </w:r>
          <w:r>
            <w:fldChar w:fldCharType="end"/>
          </w:r>
          <w:r>
            <w:rPr>
              <w:color w:val="auto"/>
              <w:szCs w:val="21"/>
              <w:highlight w:val="none"/>
              <w:lang w:val="zh-CN"/>
            </w:rPr>
            <w:fldChar w:fldCharType="end"/>
          </w:r>
        </w:p>
        <w:p w14:paraId="7B5C3CD9">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_Toc20466 </w:instrText>
          </w:r>
          <w:r>
            <w:rPr>
              <w:szCs w:val="21"/>
              <w:highlight w:val="none"/>
              <w:lang w:val="zh-CN"/>
            </w:rPr>
            <w:fldChar w:fldCharType="separate"/>
          </w:r>
          <w:r>
            <w:rPr>
              <w:rFonts w:hint="eastAsia" w:ascii="Times New Roman" w:hAnsi="Times New Roman" w:eastAsia="黑体" w:cs="Times New Roman"/>
              <w:snapToGrid w:val="0"/>
              <w:szCs w:val="21"/>
              <w:highlight w:val="none"/>
              <w:lang w:val="en-US" w:eastAsia="zh-CN"/>
            </w:rPr>
            <w:t>附图8 饶河乌苏里江国家湿地公园功能分区图</w:t>
          </w:r>
          <w:r>
            <w:tab/>
          </w:r>
          <w:r>
            <w:fldChar w:fldCharType="begin"/>
          </w:r>
          <w:r>
            <w:instrText xml:space="preserve"> PAGEREF _Toc20466 \h </w:instrText>
          </w:r>
          <w:r>
            <w:fldChar w:fldCharType="separate"/>
          </w:r>
          <w:r>
            <w:t>74</w:t>
          </w:r>
          <w:r>
            <w:fldChar w:fldCharType="end"/>
          </w:r>
          <w:r>
            <w:rPr>
              <w:color w:val="auto"/>
              <w:szCs w:val="21"/>
              <w:highlight w:val="none"/>
              <w:lang w:val="zh-CN"/>
            </w:rPr>
            <w:fldChar w:fldCharType="end"/>
          </w:r>
        </w:p>
        <w:p w14:paraId="6B73D047">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_Toc28456 </w:instrText>
          </w:r>
          <w:r>
            <w:rPr>
              <w:szCs w:val="21"/>
              <w:highlight w:val="none"/>
              <w:lang w:val="zh-CN"/>
            </w:rPr>
            <w:fldChar w:fldCharType="separate"/>
          </w:r>
          <w:r>
            <w:rPr>
              <w:rFonts w:hint="eastAsia" w:ascii="Times New Roman" w:hAnsi="Times New Roman" w:eastAsia="黑体" w:cs="Times New Roman"/>
              <w:snapToGrid w:val="0"/>
              <w:szCs w:val="21"/>
              <w:highlight w:val="none"/>
              <w:lang w:val="en-US" w:eastAsia="zh-CN"/>
            </w:rPr>
            <w:t>附图9 黑龙江大佳河省级自然保护区功能区划图</w:t>
          </w:r>
          <w:r>
            <w:tab/>
          </w:r>
          <w:r>
            <w:fldChar w:fldCharType="begin"/>
          </w:r>
          <w:r>
            <w:instrText xml:space="preserve"> PAGEREF _Toc28456 \h </w:instrText>
          </w:r>
          <w:r>
            <w:fldChar w:fldCharType="separate"/>
          </w:r>
          <w:r>
            <w:t>75</w:t>
          </w:r>
          <w:r>
            <w:fldChar w:fldCharType="end"/>
          </w:r>
          <w:r>
            <w:rPr>
              <w:color w:val="auto"/>
              <w:szCs w:val="21"/>
              <w:highlight w:val="none"/>
              <w:lang w:val="zh-CN"/>
            </w:rPr>
            <w:fldChar w:fldCharType="end"/>
          </w:r>
        </w:p>
        <w:p w14:paraId="2A1147C8">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_Toc8619 </w:instrText>
          </w:r>
          <w:r>
            <w:rPr>
              <w:szCs w:val="21"/>
              <w:highlight w:val="none"/>
              <w:lang w:val="zh-CN"/>
            </w:rPr>
            <w:fldChar w:fldCharType="separate"/>
          </w:r>
          <w:r>
            <w:rPr>
              <w:rFonts w:hint="eastAsia" w:ascii="Times New Roman" w:hAnsi="Times New Roman" w:eastAsia="黑体" w:cs="Times New Roman"/>
              <w:snapToGrid w:val="0"/>
              <w:szCs w:val="21"/>
              <w:highlight w:val="none"/>
              <w:lang w:val="en-US" w:eastAsia="zh-CN"/>
            </w:rPr>
            <w:t xml:space="preserve">附图10 </w:t>
          </w:r>
          <w:r>
            <w:rPr>
              <w:rFonts w:hint="default" w:ascii="Times New Roman" w:hAnsi="Times New Roman" w:eastAsia="黑体" w:cs="Times New Roman"/>
              <w:snapToGrid w:val="0"/>
              <w:szCs w:val="21"/>
              <w:highlight w:val="none"/>
              <w:lang w:val="en-US" w:eastAsia="zh-CN"/>
            </w:rPr>
            <w:t>黑龙江省主体功能区划图</w:t>
          </w:r>
          <w:r>
            <w:tab/>
          </w:r>
          <w:r>
            <w:fldChar w:fldCharType="begin"/>
          </w:r>
          <w:r>
            <w:instrText xml:space="preserve"> PAGEREF _Toc8619 \h </w:instrText>
          </w:r>
          <w:r>
            <w:fldChar w:fldCharType="separate"/>
          </w:r>
          <w:r>
            <w:t>76</w:t>
          </w:r>
          <w:r>
            <w:fldChar w:fldCharType="end"/>
          </w:r>
          <w:r>
            <w:rPr>
              <w:color w:val="auto"/>
              <w:szCs w:val="21"/>
              <w:highlight w:val="none"/>
              <w:lang w:val="zh-CN"/>
            </w:rPr>
            <w:fldChar w:fldCharType="end"/>
          </w:r>
        </w:p>
        <w:p w14:paraId="74CA1391">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_Toc20387 </w:instrText>
          </w:r>
          <w:r>
            <w:rPr>
              <w:szCs w:val="21"/>
              <w:highlight w:val="none"/>
              <w:lang w:val="zh-CN"/>
            </w:rPr>
            <w:fldChar w:fldCharType="separate"/>
          </w:r>
          <w:r>
            <w:rPr>
              <w:rFonts w:hint="eastAsia" w:ascii="Times New Roman" w:hAnsi="Times New Roman" w:eastAsia="黑体" w:cs="Times New Roman"/>
              <w:snapToGrid w:val="0"/>
              <w:szCs w:val="21"/>
              <w:highlight w:val="none"/>
              <w:lang w:val="en-US" w:eastAsia="zh-CN"/>
            </w:rPr>
            <w:t>附图11 黑</w:t>
          </w:r>
          <w:r>
            <w:rPr>
              <w:rFonts w:hint="default" w:ascii="Times New Roman" w:hAnsi="Times New Roman" w:eastAsia="黑体" w:cs="Times New Roman"/>
              <w:snapToGrid w:val="0"/>
              <w:szCs w:val="21"/>
              <w:highlight w:val="none"/>
              <w:lang w:val="en-US" w:eastAsia="zh-CN"/>
            </w:rPr>
            <w:t>龙江省生态功能区划图</w:t>
          </w:r>
          <w:r>
            <w:tab/>
          </w:r>
          <w:r>
            <w:fldChar w:fldCharType="begin"/>
          </w:r>
          <w:r>
            <w:instrText xml:space="preserve"> PAGEREF _Toc20387 \h </w:instrText>
          </w:r>
          <w:r>
            <w:fldChar w:fldCharType="separate"/>
          </w:r>
          <w:r>
            <w:t>77</w:t>
          </w:r>
          <w:r>
            <w:fldChar w:fldCharType="end"/>
          </w:r>
          <w:r>
            <w:rPr>
              <w:color w:val="auto"/>
              <w:szCs w:val="21"/>
              <w:highlight w:val="none"/>
              <w:lang w:val="zh-CN"/>
            </w:rPr>
            <w:fldChar w:fldCharType="end"/>
          </w:r>
        </w:p>
        <w:p w14:paraId="64E855CB">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_Toc17555 </w:instrText>
          </w:r>
          <w:r>
            <w:rPr>
              <w:szCs w:val="21"/>
              <w:highlight w:val="none"/>
              <w:lang w:val="zh-CN"/>
            </w:rPr>
            <w:fldChar w:fldCharType="separate"/>
          </w:r>
          <w:r>
            <w:rPr>
              <w:rFonts w:hint="eastAsia" w:ascii="Times New Roman" w:hAnsi="Times New Roman" w:eastAsia="黑体" w:cs="Times New Roman"/>
              <w:snapToGrid w:val="0"/>
              <w:szCs w:val="21"/>
              <w:highlight w:val="none"/>
              <w:lang w:val="en-US" w:eastAsia="zh-CN"/>
            </w:rPr>
            <w:t>附图12 饶河县大岱河干流功能区分区规划图</w:t>
          </w:r>
          <w:r>
            <w:tab/>
          </w:r>
          <w:r>
            <w:fldChar w:fldCharType="begin"/>
          </w:r>
          <w:r>
            <w:instrText xml:space="preserve"> PAGEREF _Toc17555 \h </w:instrText>
          </w:r>
          <w:r>
            <w:fldChar w:fldCharType="separate"/>
          </w:r>
          <w:r>
            <w:t>78</w:t>
          </w:r>
          <w:r>
            <w:fldChar w:fldCharType="end"/>
          </w:r>
          <w:r>
            <w:rPr>
              <w:color w:val="auto"/>
              <w:szCs w:val="21"/>
              <w:highlight w:val="none"/>
              <w:lang w:val="zh-CN"/>
            </w:rPr>
            <w:fldChar w:fldCharType="end"/>
          </w:r>
        </w:p>
        <w:p w14:paraId="7D25FDFD">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_Toc30916 </w:instrText>
          </w:r>
          <w:r>
            <w:rPr>
              <w:szCs w:val="21"/>
              <w:highlight w:val="none"/>
              <w:lang w:val="zh-CN"/>
            </w:rPr>
            <w:fldChar w:fldCharType="separate"/>
          </w:r>
          <w:r>
            <w:rPr>
              <w:rFonts w:hint="eastAsia" w:eastAsia="黑体"/>
              <w:snapToGrid w:val="0"/>
              <w:kern w:val="0"/>
              <w:szCs w:val="32"/>
              <w:highlight w:val="none"/>
            </w:rPr>
            <w:t>附件</w:t>
          </w:r>
          <w:r>
            <w:tab/>
          </w:r>
          <w:r>
            <w:fldChar w:fldCharType="begin"/>
          </w:r>
          <w:r>
            <w:instrText xml:space="preserve"> PAGEREF _Toc30916 \h </w:instrText>
          </w:r>
          <w:r>
            <w:fldChar w:fldCharType="separate"/>
          </w:r>
          <w:r>
            <w:t>79</w:t>
          </w:r>
          <w:r>
            <w:fldChar w:fldCharType="end"/>
          </w:r>
          <w:r>
            <w:rPr>
              <w:color w:val="auto"/>
              <w:szCs w:val="21"/>
              <w:highlight w:val="none"/>
              <w:lang w:val="zh-CN"/>
            </w:rPr>
            <w:fldChar w:fldCharType="end"/>
          </w:r>
        </w:p>
        <w:p w14:paraId="05684D43">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_Toc30814 </w:instrText>
          </w:r>
          <w:r>
            <w:rPr>
              <w:szCs w:val="21"/>
              <w:highlight w:val="none"/>
              <w:lang w:val="zh-CN"/>
            </w:rPr>
            <w:fldChar w:fldCharType="separate"/>
          </w:r>
          <w:r>
            <w:rPr>
              <w:rFonts w:hint="eastAsia" w:ascii="Times New Roman" w:hAnsi="Times New Roman" w:eastAsia="黑体"/>
              <w:snapToGrid w:val="0"/>
              <w:szCs w:val="21"/>
              <w:highlight w:val="none"/>
            </w:rPr>
            <w:t>附件</w:t>
          </w:r>
          <w:r>
            <w:rPr>
              <w:rFonts w:ascii="Times New Roman" w:hAnsi="Times New Roman" w:eastAsia="黑体"/>
              <w:snapToGrid w:val="0"/>
              <w:szCs w:val="21"/>
              <w:highlight w:val="none"/>
            </w:rPr>
            <w:t xml:space="preserve">1 </w:t>
          </w:r>
          <w:r>
            <w:rPr>
              <w:rFonts w:hint="eastAsia" w:ascii="Times New Roman" w:hAnsi="Times New Roman" w:eastAsia="黑体"/>
              <w:snapToGrid w:val="0"/>
              <w:szCs w:val="21"/>
              <w:highlight w:val="none"/>
            </w:rPr>
            <w:t>生态环境分区管控分析报告</w:t>
          </w:r>
          <w:r>
            <w:tab/>
          </w:r>
          <w:r>
            <w:fldChar w:fldCharType="begin"/>
          </w:r>
          <w:r>
            <w:instrText xml:space="preserve"> PAGEREF _Toc30814 \h </w:instrText>
          </w:r>
          <w:r>
            <w:fldChar w:fldCharType="separate"/>
          </w:r>
          <w:r>
            <w:t>79</w:t>
          </w:r>
          <w:r>
            <w:fldChar w:fldCharType="end"/>
          </w:r>
          <w:r>
            <w:rPr>
              <w:color w:val="auto"/>
              <w:szCs w:val="21"/>
              <w:highlight w:val="none"/>
              <w:lang w:val="zh-CN"/>
            </w:rPr>
            <w:fldChar w:fldCharType="end"/>
          </w:r>
        </w:p>
        <w:p w14:paraId="010F582C">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_Toc15055 </w:instrText>
          </w:r>
          <w:r>
            <w:rPr>
              <w:szCs w:val="21"/>
              <w:highlight w:val="none"/>
              <w:lang w:val="zh-CN"/>
            </w:rPr>
            <w:fldChar w:fldCharType="separate"/>
          </w:r>
          <w:r>
            <w:rPr>
              <w:rFonts w:hint="eastAsia" w:ascii="Times New Roman" w:hAnsi="Times New Roman" w:eastAsia="黑体"/>
              <w:snapToGrid w:val="0"/>
              <w:szCs w:val="21"/>
              <w:highlight w:val="none"/>
            </w:rPr>
            <w:t>附件2</w:t>
          </w:r>
          <w:r>
            <w:rPr>
              <w:rFonts w:hint="eastAsia" w:ascii="Times New Roman" w:hAnsi="Times New Roman" w:eastAsia="黑体"/>
              <w:snapToGrid w:val="0"/>
              <w:szCs w:val="21"/>
              <w:highlight w:val="none"/>
              <w:lang w:val="en-US" w:eastAsia="zh-CN"/>
            </w:rPr>
            <w:t xml:space="preserve"> 事业单位法人证书</w:t>
          </w:r>
          <w:r>
            <w:tab/>
          </w:r>
          <w:r>
            <w:fldChar w:fldCharType="begin"/>
          </w:r>
          <w:r>
            <w:instrText xml:space="preserve"> PAGEREF _Toc15055 \h </w:instrText>
          </w:r>
          <w:r>
            <w:fldChar w:fldCharType="separate"/>
          </w:r>
          <w:r>
            <w:t>88</w:t>
          </w:r>
          <w:r>
            <w:fldChar w:fldCharType="end"/>
          </w:r>
          <w:r>
            <w:rPr>
              <w:color w:val="auto"/>
              <w:szCs w:val="21"/>
              <w:highlight w:val="none"/>
              <w:lang w:val="zh-CN"/>
            </w:rPr>
            <w:fldChar w:fldCharType="end"/>
          </w:r>
        </w:p>
        <w:p w14:paraId="0F676013">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_Toc26225 </w:instrText>
          </w:r>
          <w:r>
            <w:rPr>
              <w:szCs w:val="21"/>
              <w:highlight w:val="none"/>
              <w:lang w:val="zh-CN"/>
            </w:rPr>
            <w:fldChar w:fldCharType="separate"/>
          </w:r>
          <w:r>
            <w:rPr>
              <w:rFonts w:hint="eastAsia" w:ascii="Times New Roman" w:hAnsi="Times New Roman" w:eastAsia="黑体"/>
              <w:snapToGrid w:val="0"/>
              <w:szCs w:val="21"/>
              <w:highlight w:val="none"/>
            </w:rPr>
            <w:t>附件</w:t>
          </w:r>
          <w:r>
            <w:rPr>
              <w:rFonts w:hint="eastAsia" w:ascii="Times New Roman" w:hAnsi="Times New Roman" w:eastAsia="黑体"/>
              <w:snapToGrid w:val="0"/>
              <w:szCs w:val="21"/>
              <w:highlight w:val="none"/>
              <w:lang w:val="en-US" w:eastAsia="zh-CN"/>
            </w:rPr>
            <w:t>3 饶河县水务局关于黑龙江省饶河县大带河治理工程(补充)(EPC)实施方案报告的批复</w:t>
          </w:r>
          <w:r>
            <w:tab/>
          </w:r>
          <w:r>
            <w:fldChar w:fldCharType="begin"/>
          </w:r>
          <w:r>
            <w:instrText xml:space="preserve"> PAGEREF _Toc26225 \h </w:instrText>
          </w:r>
          <w:r>
            <w:fldChar w:fldCharType="separate"/>
          </w:r>
          <w:r>
            <w:t>89</w:t>
          </w:r>
          <w:r>
            <w:fldChar w:fldCharType="end"/>
          </w:r>
          <w:r>
            <w:rPr>
              <w:color w:val="auto"/>
              <w:szCs w:val="21"/>
              <w:highlight w:val="none"/>
              <w:lang w:val="zh-CN"/>
            </w:rPr>
            <w:fldChar w:fldCharType="end"/>
          </w:r>
        </w:p>
        <w:p w14:paraId="67CFF234">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_Toc9881 </w:instrText>
          </w:r>
          <w:r>
            <w:rPr>
              <w:szCs w:val="21"/>
              <w:highlight w:val="none"/>
              <w:lang w:val="zh-CN"/>
            </w:rPr>
            <w:fldChar w:fldCharType="separate"/>
          </w:r>
          <w:r>
            <w:rPr>
              <w:rFonts w:hint="eastAsia" w:ascii="Times New Roman" w:hAnsi="Times New Roman" w:eastAsia="黑体"/>
              <w:snapToGrid w:val="0"/>
              <w:szCs w:val="21"/>
              <w:highlight w:val="none"/>
            </w:rPr>
            <w:t>附件</w:t>
          </w:r>
          <w:r>
            <w:rPr>
              <w:rFonts w:hint="eastAsia" w:ascii="Times New Roman" w:hAnsi="Times New Roman" w:eastAsia="黑体"/>
              <w:snapToGrid w:val="0"/>
              <w:szCs w:val="21"/>
              <w:highlight w:val="none"/>
              <w:lang w:val="en-US" w:eastAsia="zh-CN"/>
            </w:rPr>
            <w:t>4 保护区文件</w:t>
          </w:r>
          <w:r>
            <w:tab/>
          </w:r>
          <w:r>
            <w:fldChar w:fldCharType="begin"/>
          </w:r>
          <w:r>
            <w:instrText xml:space="preserve"> PAGEREF _Toc9881 \h </w:instrText>
          </w:r>
          <w:r>
            <w:fldChar w:fldCharType="separate"/>
          </w:r>
          <w:r>
            <w:t>92</w:t>
          </w:r>
          <w:r>
            <w:fldChar w:fldCharType="end"/>
          </w:r>
          <w:r>
            <w:rPr>
              <w:color w:val="auto"/>
              <w:szCs w:val="21"/>
              <w:highlight w:val="none"/>
              <w:lang w:val="zh-CN"/>
            </w:rPr>
            <w:fldChar w:fldCharType="end"/>
          </w:r>
        </w:p>
        <w:p w14:paraId="2DB57A46">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_Toc2346 </w:instrText>
          </w:r>
          <w:r>
            <w:rPr>
              <w:szCs w:val="21"/>
              <w:highlight w:val="none"/>
              <w:lang w:val="zh-CN"/>
            </w:rPr>
            <w:fldChar w:fldCharType="separate"/>
          </w:r>
          <w:r>
            <w:rPr>
              <w:rFonts w:hint="eastAsia" w:ascii="Times New Roman" w:hAnsi="Times New Roman" w:eastAsia="黑体"/>
              <w:snapToGrid w:val="0"/>
              <w:szCs w:val="21"/>
              <w:highlight w:val="none"/>
              <w:lang w:val="en-US" w:eastAsia="zh-CN"/>
            </w:rPr>
            <w:t>附件5 关于部分事业单位机构编制调整的通知</w:t>
          </w:r>
          <w:r>
            <w:tab/>
          </w:r>
          <w:r>
            <w:fldChar w:fldCharType="begin"/>
          </w:r>
          <w:r>
            <w:instrText xml:space="preserve"> PAGEREF _Toc2346 \h </w:instrText>
          </w:r>
          <w:r>
            <w:fldChar w:fldCharType="separate"/>
          </w:r>
          <w:r>
            <w:t>94</w:t>
          </w:r>
          <w:r>
            <w:fldChar w:fldCharType="end"/>
          </w:r>
          <w:r>
            <w:rPr>
              <w:color w:val="auto"/>
              <w:szCs w:val="21"/>
              <w:highlight w:val="none"/>
              <w:lang w:val="zh-CN"/>
            </w:rPr>
            <w:fldChar w:fldCharType="end"/>
          </w:r>
        </w:p>
        <w:p w14:paraId="05286EF9">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_Toc29645 </w:instrText>
          </w:r>
          <w:r>
            <w:rPr>
              <w:szCs w:val="21"/>
              <w:highlight w:val="none"/>
              <w:lang w:val="zh-CN"/>
            </w:rPr>
            <w:fldChar w:fldCharType="separate"/>
          </w:r>
          <w:r>
            <w:rPr>
              <w:rFonts w:hint="eastAsia" w:ascii="Times New Roman" w:hAnsi="Times New Roman" w:eastAsia="黑体"/>
              <w:snapToGrid w:val="0"/>
              <w:szCs w:val="21"/>
              <w:highlight w:val="none"/>
              <w:lang w:val="en-US" w:eastAsia="zh-CN"/>
            </w:rPr>
            <w:t>附件6 建设单位变更说明</w:t>
          </w:r>
          <w:r>
            <w:tab/>
          </w:r>
          <w:r>
            <w:fldChar w:fldCharType="begin"/>
          </w:r>
          <w:r>
            <w:instrText xml:space="preserve"> PAGEREF _Toc29645 \h </w:instrText>
          </w:r>
          <w:r>
            <w:fldChar w:fldCharType="separate"/>
          </w:r>
          <w:r>
            <w:t>97</w:t>
          </w:r>
          <w:r>
            <w:fldChar w:fldCharType="end"/>
          </w:r>
          <w:r>
            <w:rPr>
              <w:color w:val="auto"/>
              <w:szCs w:val="21"/>
              <w:highlight w:val="none"/>
              <w:lang w:val="zh-CN"/>
            </w:rPr>
            <w:fldChar w:fldCharType="end"/>
          </w:r>
        </w:p>
        <w:p w14:paraId="2373F751">
          <w:pPr>
            <w:pStyle w:val="18"/>
            <w:keepNext w:val="0"/>
            <w:keepLines w:val="0"/>
            <w:pageBreakBefore w:val="0"/>
            <w:widowControl w:val="0"/>
            <w:tabs>
              <w:tab w:val="right" w:leader="dot" w:pos="8844"/>
              <w:tab w:val="clear" w:pos="8834"/>
            </w:tabs>
            <w:kinsoku/>
            <w:wordWrap/>
            <w:overflowPunct/>
            <w:topLinePunct w:val="0"/>
            <w:autoSpaceDE/>
            <w:autoSpaceDN/>
            <w:bidi w:val="0"/>
            <w:adjustRightInd/>
            <w:snapToGrid/>
            <w:spacing w:line="288" w:lineRule="auto"/>
            <w:textAlignment w:val="auto"/>
          </w:pPr>
          <w:r>
            <w:rPr>
              <w:color w:val="auto"/>
              <w:szCs w:val="21"/>
              <w:highlight w:val="none"/>
              <w:lang w:val="zh-CN"/>
            </w:rPr>
            <w:fldChar w:fldCharType="begin"/>
          </w:r>
          <w:r>
            <w:rPr>
              <w:szCs w:val="21"/>
              <w:highlight w:val="none"/>
              <w:lang w:val="zh-CN"/>
            </w:rPr>
            <w:instrText xml:space="preserve"> HYPERLINK \l _Toc19085 </w:instrText>
          </w:r>
          <w:r>
            <w:rPr>
              <w:szCs w:val="21"/>
              <w:highlight w:val="none"/>
              <w:lang w:val="zh-CN"/>
            </w:rPr>
            <w:fldChar w:fldCharType="separate"/>
          </w:r>
          <w:r>
            <w:rPr>
              <w:rFonts w:hint="eastAsia" w:ascii="Times New Roman" w:hAnsi="Times New Roman" w:eastAsia="黑体"/>
              <w:snapToGrid w:val="0"/>
              <w:szCs w:val="21"/>
              <w:highlight w:val="none"/>
              <w:lang w:val="en-US" w:eastAsia="zh-CN"/>
            </w:rPr>
            <w:t>附件7 施工情况说明</w:t>
          </w:r>
          <w:r>
            <w:tab/>
          </w:r>
          <w:r>
            <w:fldChar w:fldCharType="begin"/>
          </w:r>
          <w:r>
            <w:instrText xml:space="preserve"> PAGEREF _Toc19085 \h </w:instrText>
          </w:r>
          <w:r>
            <w:fldChar w:fldCharType="separate"/>
          </w:r>
          <w:r>
            <w:t>98</w:t>
          </w:r>
          <w:r>
            <w:fldChar w:fldCharType="end"/>
          </w:r>
          <w:r>
            <w:rPr>
              <w:color w:val="auto"/>
              <w:szCs w:val="21"/>
              <w:highlight w:val="none"/>
              <w:lang w:val="zh-CN"/>
            </w:rPr>
            <w:fldChar w:fldCharType="end"/>
          </w:r>
        </w:p>
        <w:p w14:paraId="5E169687">
          <w:pPr>
            <w:keepNext w:val="0"/>
            <w:keepLines w:val="0"/>
            <w:pageBreakBefore w:val="0"/>
            <w:widowControl w:val="0"/>
            <w:tabs>
              <w:tab w:val="right" w:leader="dot" w:pos="8834"/>
            </w:tabs>
            <w:kinsoku/>
            <w:wordWrap/>
            <w:overflowPunct/>
            <w:topLinePunct w:val="0"/>
            <w:autoSpaceDE/>
            <w:autoSpaceDN/>
            <w:bidi w:val="0"/>
            <w:adjustRightInd/>
            <w:snapToGrid/>
            <w:spacing w:line="360" w:lineRule="auto"/>
            <w:textAlignment w:val="auto"/>
            <w:rPr>
              <w:color w:val="auto"/>
              <w:sz w:val="21"/>
              <w:szCs w:val="21"/>
              <w:highlight w:val="none"/>
            </w:rPr>
          </w:pPr>
          <w:r>
            <w:rPr>
              <w:color w:val="auto"/>
              <w:sz w:val="21"/>
              <w:szCs w:val="21"/>
              <w:highlight w:val="none"/>
              <w:lang w:val="zh-CN"/>
            </w:rPr>
            <w:fldChar w:fldCharType="end"/>
          </w:r>
        </w:p>
      </w:sdtContent>
    </w:sdt>
    <w:p w14:paraId="57E39FE8">
      <w:pPr>
        <w:adjustRightInd w:val="0"/>
        <w:snapToGrid w:val="0"/>
        <w:spacing w:line="288" w:lineRule="auto"/>
        <w:ind w:firstLine="1040"/>
        <w:rPr>
          <w:rFonts w:eastAsia="仿宋_GB2312"/>
          <w:color w:val="FF0000"/>
          <w:sz w:val="36"/>
          <w:szCs w:val="36"/>
          <w:highlight w:val="none"/>
        </w:rPr>
      </w:pPr>
    </w:p>
    <w:p w14:paraId="45B312C2">
      <w:pPr>
        <w:adjustRightInd w:val="0"/>
        <w:snapToGrid w:val="0"/>
        <w:spacing w:line="288" w:lineRule="auto"/>
        <w:ind w:firstLine="1040"/>
        <w:rPr>
          <w:rFonts w:eastAsia="仿宋_GB2312"/>
          <w:color w:val="FF0000"/>
          <w:sz w:val="36"/>
          <w:szCs w:val="36"/>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3ED25291">
      <w:pPr>
        <w:pStyle w:val="22"/>
        <w:jc w:val="center"/>
        <w:outlineLvl w:val="0"/>
        <w:rPr>
          <w:rFonts w:ascii="Times New Roman" w:hAnsi="Times New Roman" w:eastAsia="黑体" w:cs="Times New Roman"/>
          <w:snapToGrid w:val="0"/>
          <w:color w:val="auto"/>
          <w:sz w:val="30"/>
          <w:szCs w:val="30"/>
          <w:highlight w:val="none"/>
        </w:rPr>
      </w:pPr>
      <w:bookmarkStart w:id="2" w:name="_Toc15347"/>
      <w:r>
        <w:rPr>
          <w:rFonts w:ascii="Times New Roman" w:hAnsi="Times New Roman" w:eastAsia="黑体" w:cs="Times New Roman"/>
          <w:snapToGrid w:val="0"/>
          <w:color w:val="auto"/>
          <w:sz w:val="30"/>
          <w:szCs w:val="30"/>
          <w:highlight w:val="none"/>
        </w:rPr>
        <w:t>一、建设项目基本情况</w:t>
      </w:r>
      <w:bookmarkEnd w:id="2"/>
    </w:p>
    <w:tbl>
      <w:tblPr>
        <w:tblStyle w:val="26"/>
        <w:tblW w:w="498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29"/>
        <w:gridCol w:w="2016"/>
        <w:gridCol w:w="2475"/>
        <w:gridCol w:w="2829"/>
      </w:tblGrid>
      <w:tr w14:paraId="7CCA1F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864" w:type="pct"/>
            <w:tcMar>
              <w:top w:w="16" w:type="dxa"/>
              <w:left w:w="16" w:type="dxa"/>
              <w:right w:w="16" w:type="dxa"/>
            </w:tcMar>
            <w:vAlign w:val="center"/>
          </w:tcPr>
          <w:p w14:paraId="25B66902">
            <w:pPr>
              <w:adjustRightInd w:val="0"/>
              <w:snapToGrid w:val="0"/>
              <w:jc w:val="center"/>
              <w:rPr>
                <w:color w:val="auto"/>
                <w:szCs w:val="21"/>
                <w:highlight w:val="none"/>
              </w:rPr>
            </w:pPr>
            <w:r>
              <w:rPr>
                <w:color w:val="auto"/>
                <w:szCs w:val="21"/>
                <w:highlight w:val="none"/>
              </w:rPr>
              <w:t>建设项目名称</w:t>
            </w:r>
          </w:p>
        </w:tc>
        <w:tc>
          <w:tcPr>
            <w:tcW w:w="4135" w:type="pct"/>
            <w:gridSpan w:val="3"/>
            <w:vAlign w:val="center"/>
          </w:tcPr>
          <w:p w14:paraId="61E72D8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Cs w:val="21"/>
                <w:highlight w:val="none"/>
                <w:lang w:eastAsia="zh-CN"/>
              </w:rPr>
            </w:pPr>
            <w:r>
              <w:rPr>
                <w:rFonts w:hint="eastAsia"/>
                <w:color w:val="auto"/>
                <w:szCs w:val="21"/>
                <w:highlight w:val="none"/>
                <w:lang w:eastAsia="zh-CN"/>
              </w:rPr>
              <w:t>黑龙江省饶河县大带河治理工程（补充）（EPC）</w:t>
            </w:r>
          </w:p>
        </w:tc>
      </w:tr>
      <w:tr w14:paraId="0E3EFC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864" w:type="pct"/>
            <w:tcMar>
              <w:top w:w="16" w:type="dxa"/>
              <w:left w:w="16" w:type="dxa"/>
              <w:right w:w="16" w:type="dxa"/>
            </w:tcMar>
            <w:vAlign w:val="center"/>
          </w:tcPr>
          <w:p w14:paraId="711C1090">
            <w:pPr>
              <w:adjustRightInd w:val="0"/>
              <w:snapToGrid w:val="0"/>
              <w:jc w:val="center"/>
              <w:rPr>
                <w:color w:val="auto"/>
                <w:szCs w:val="21"/>
                <w:highlight w:val="none"/>
              </w:rPr>
            </w:pPr>
            <w:r>
              <w:rPr>
                <w:color w:val="auto"/>
                <w:szCs w:val="21"/>
                <w:highlight w:val="none"/>
              </w:rPr>
              <w:t>项目代码</w:t>
            </w:r>
          </w:p>
        </w:tc>
        <w:tc>
          <w:tcPr>
            <w:tcW w:w="4135" w:type="pct"/>
            <w:gridSpan w:val="3"/>
            <w:vAlign w:val="center"/>
          </w:tcPr>
          <w:p w14:paraId="5CB45C1F">
            <w:pPr>
              <w:adjustRightInd w:val="0"/>
              <w:snapToGrid w:val="0"/>
              <w:jc w:val="center"/>
              <w:rPr>
                <w:color w:val="auto"/>
                <w:szCs w:val="21"/>
                <w:highlight w:val="none"/>
              </w:rPr>
            </w:pPr>
            <w:r>
              <w:rPr>
                <w:rFonts w:hint="eastAsia"/>
                <w:color w:val="auto"/>
                <w:szCs w:val="21"/>
                <w:highlight w:val="none"/>
              </w:rPr>
              <w:t>无</w:t>
            </w:r>
          </w:p>
        </w:tc>
      </w:tr>
      <w:tr w14:paraId="23024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864" w:type="pct"/>
            <w:tcMar>
              <w:top w:w="16" w:type="dxa"/>
              <w:left w:w="16" w:type="dxa"/>
              <w:right w:w="16" w:type="dxa"/>
            </w:tcMar>
            <w:vAlign w:val="center"/>
          </w:tcPr>
          <w:p w14:paraId="215D78A2">
            <w:pPr>
              <w:adjustRightInd w:val="0"/>
              <w:snapToGrid w:val="0"/>
              <w:jc w:val="center"/>
              <w:rPr>
                <w:color w:val="auto"/>
                <w:szCs w:val="21"/>
                <w:highlight w:val="none"/>
              </w:rPr>
            </w:pPr>
            <w:r>
              <w:rPr>
                <w:color w:val="auto"/>
                <w:szCs w:val="21"/>
                <w:highlight w:val="none"/>
              </w:rPr>
              <w:t>建设单位联系人</w:t>
            </w:r>
          </w:p>
        </w:tc>
        <w:tc>
          <w:tcPr>
            <w:tcW w:w="1139" w:type="pct"/>
            <w:vAlign w:val="center"/>
          </w:tcPr>
          <w:p w14:paraId="19E9A55D">
            <w:pPr>
              <w:adjustRightInd w:val="0"/>
              <w:snapToGrid w:val="0"/>
              <w:jc w:val="center"/>
              <w:rPr>
                <w:color w:val="auto"/>
                <w:szCs w:val="21"/>
                <w:highlight w:val="none"/>
              </w:rPr>
            </w:pPr>
            <w:r>
              <w:rPr>
                <w:rFonts w:hint="eastAsia"/>
                <w:color w:val="auto"/>
                <w:szCs w:val="21"/>
                <w:highlight w:val="none"/>
              </w:rPr>
              <w:t>朱立彬</w:t>
            </w:r>
          </w:p>
        </w:tc>
        <w:tc>
          <w:tcPr>
            <w:tcW w:w="1398" w:type="pct"/>
            <w:vAlign w:val="center"/>
          </w:tcPr>
          <w:p w14:paraId="33799157">
            <w:pPr>
              <w:adjustRightInd w:val="0"/>
              <w:snapToGrid w:val="0"/>
              <w:jc w:val="center"/>
              <w:rPr>
                <w:color w:val="auto"/>
                <w:szCs w:val="21"/>
                <w:highlight w:val="none"/>
              </w:rPr>
            </w:pPr>
            <w:r>
              <w:rPr>
                <w:color w:val="auto"/>
                <w:szCs w:val="21"/>
                <w:highlight w:val="none"/>
              </w:rPr>
              <w:t>联系方式</w:t>
            </w:r>
          </w:p>
        </w:tc>
        <w:tc>
          <w:tcPr>
            <w:tcW w:w="1596" w:type="pct"/>
            <w:vAlign w:val="center"/>
          </w:tcPr>
          <w:p w14:paraId="59C9850E">
            <w:pPr>
              <w:adjustRightInd w:val="0"/>
              <w:snapToGrid w:val="0"/>
              <w:jc w:val="center"/>
              <w:rPr>
                <w:color w:val="auto"/>
                <w:szCs w:val="21"/>
                <w:highlight w:val="none"/>
              </w:rPr>
            </w:pPr>
            <w:r>
              <w:rPr>
                <w:rFonts w:hint="eastAsia"/>
                <w:color w:val="auto"/>
                <w:szCs w:val="21"/>
                <w:highlight w:val="none"/>
              </w:rPr>
              <w:t>13796399876</w:t>
            </w:r>
          </w:p>
        </w:tc>
      </w:tr>
      <w:tr w14:paraId="0EC139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864" w:type="pct"/>
            <w:tcMar>
              <w:top w:w="16" w:type="dxa"/>
              <w:left w:w="16" w:type="dxa"/>
              <w:right w:w="16" w:type="dxa"/>
            </w:tcMar>
            <w:vAlign w:val="center"/>
          </w:tcPr>
          <w:p w14:paraId="29FA4101">
            <w:pPr>
              <w:adjustRightInd w:val="0"/>
              <w:snapToGrid w:val="0"/>
              <w:jc w:val="center"/>
              <w:rPr>
                <w:color w:val="auto"/>
                <w:szCs w:val="21"/>
                <w:highlight w:val="none"/>
              </w:rPr>
            </w:pPr>
            <w:r>
              <w:rPr>
                <w:color w:val="auto"/>
                <w:szCs w:val="21"/>
                <w:highlight w:val="none"/>
              </w:rPr>
              <w:t>建设地点</w:t>
            </w:r>
          </w:p>
        </w:tc>
        <w:tc>
          <w:tcPr>
            <w:tcW w:w="4135" w:type="pct"/>
            <w:gridSpan w:val="3"/>
            <w:vAlign w:val="center"/>
          </w:tcPr>
          <w:p w14:paraId="009C7F03">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黑龙江省双鸭山市饶河县大带河</w:t>
            </w:r>
          </w:p>
        </w:tc>
      </w:tr>
      <w:tr w14:paraId="2560D9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864" w:type="pct"/>
            <w:tcMar>
              <w:top w:w="16" w:type="dxa"/>
              <w:left w:w="16" w:type="dxa"/>
              <w:right w:w="16" w:type="dxa"/>
            </w:tcMar>
            <w:vAlign w:val="center"/>
          </w:tcPr>
          <w:p w14:paraId="25CEACC5">
            <w:pPr>
              <w:adjustRightInd w:val="0"/>
              <w:snapToGrid w:val="0"/>
              <w:jc w:val="center"/>
              <w:rPr>
                <w:color w:val="auto"/>
                <w:szCs w:val="21"/>
                <w:highlight w:val="none"/>
              </w:rPr>
            </w:pPr>
            <w:r>
              <w:rPr>
                <w:color w:val="auto"/>
                <w:szCs w:val="21"/>
                <w:highlight w:val="none"/>
              </w:rPr>
              <w:t>地理坐标</w:t>
            </w:r>
          </w:p>
        </w:tc>
        <w:tc>
          <w:tcPr>
            <w:tcW w:w="4135" w:type="pct"/>
            <w:gridSpan w:val="3"/>
            <w:vAlign w:val="center"/>
          </w:tcPr>
          <w:p w14:paraId="04C6B768">
            <w:pPr>
              <w:adjustRightInd w:val="0"/>
              <w:snapToGrid w:val="0"/>
              <w:jc w:val="center"/>
              <w:rPr>
                <w:color w:val="auto"/>
                <w:szCs w:val="21"/>
                <w:highlight w:val="none"/>
              </w:rPr>
            </w:pPr>
            <w:r>
              <w:rPr>
                <w:rFonts w:hint="eastAsia"/>
                <w:color w:val="auto"/>
                <w:szCs w:val="21"/>
                <w:highlight w:val="none"/>
              </w:rPr>
              <w:t>起点坐标：（</w:t>
            </w:r>
            <w:r>
              <w:rPr>
                <w:rFonts w:hint="eastAsia"/>
                <w:color w:val="auto"/>
                <w:szCs w:val="21"/>
                <w:highlight w:val="none"/>
                <w:u w:val="single"/>
              </w:rPr>
              <w:t>1</w:t>
            </w:r>
            <w:r>
              <w:rPr>
                <w:rFonts w:hint="eastAsia"/>
                <w:color w:val="auto"/>
                <w:szCs w:val="21"/>
                <w:highlight w:val="none"/>
                <w:u w:val="single"/>
                <w:lang w:val="en-US" w:eastAsia="zh-CN"/>
              </w:rPr>
              <w:t>33</w:t>
            </w:r>
            <w:r>
              <w:rPr>
                <w:rFonts w:hint="eastAsia"/>
                <w:color w:val="auto"/>
                <w:szCs w:val="21"/>
                <w:highlight w:val="none"/>
              </w:rPr>
              <w:t>度</w:t>
            </w:r>
            <w:r>
              <w:rPr>
                <w:rFonts w:hint="eastAsia"/>
                <w:color w:val="auto"/>
                <w:szCs w:val="21"/>
                <w:highlight w:val="none"/>
                <w:u w:val="single"/>
                <w:lang w:val="en-US" w:eastAsia="zh-CN"/>
              </w:rPr>
              <w:t>59</w:t>
            </w:r>
            <w:r>
              <w:rPr>
                <w:rFonts w:hint="eastAsia"/>
                <w:color w:val="auto"/>
                <w:szCs w:val="21"/>
                <w:highlight w:val="none"/>
              </w:rPr>
              <w:t>分</w:t>
            </w:r>
            <w:r>
              <w:rPr>
                <w:rFonts w:hint="eastAsia"/>
                <w:color w:val="auto"/>
                <w:szCs w:val="21"/>
                <w:highlight w:val="none"/>
                <w:u w:val="single"/>
                <w:lang w:val="en-US" w:eastAsia="zh-CN"/>
              </w:rPr>
              <w:t>37.975</w:t>
            </w:r>
            <w:r>
              <w:rPr>
                <w:rFonts w:hint="eastAsia"/>
                <w:color w:val="auto"/>
                <w:szCs w:val="21"/>
                <w:highlight w:val="none"/>
              </w:rPr>
              <w:t>秒，</w:t>
            </w:r>
            <w:r>
              <w:rPr>
                <w:rFonts w:hint="eastAsia"/>
                <w:color w:val="auto"/>
                <w:szCs w:val="21"/>
                <w:highlight w:val="none"/>
                <w:u w:val="single"/>
              </w:rPr>
              <w:t>46</w:t>
            </w:r>
            <w:r>
              <w:rPr>
                <w:rFonts w:hint="eastAsia"/>
                <w:color w:val="auto"/>
                <w:szCs w:val="21"/>
                <w:highlight w:val="none"/>
              </w:rPr>
              <w:t>度</w:t>
            </w:r>
            <w:r>
              <w:rPr>
                <w:rFonts w:hint="eastAsia"/>
                <w:color w:val="auto"/>
                <w:szCs w:val="21"/>
                <w:highlight w:val="none"/>
                <w:u w:val="single"/>
                <w:lang w:val="en-US" w:eastAsia="zh-CN"/>
              </w:rPr>
              <w:t>50</w:t>
            </w:r>
            <w:r>
              <w:rPr>
                <w:rFonts w:hint="eastAsia"/>
                <w:color w:val="auto"/>
                <w:szCs w:val="21"/>
                <w:highlight w:val="none"/>
              </w:rPr>
              <w:t>分</w:t>
            </w:r>
            <w:r>
              <w:rPr>
                <w:rFonts w:hint="eastAsia"/>
                <w:color w:val="auto"/>
                <w:szCs w:val="21"/>
                <w:highlight w:val="none"/>
                <w:u w:val="single"/>
                <w:lang w:val="en-US" w:eastAsia="zh-CN"/>
              </w:rPr>
              <w:t>16.899</w:t>
            </w:r>
            <w:r>
              <w:rPr>
                <w:rFonts w:hint="eastAsia"/>
                <w:color w:val="auto"/>
                <w:szCs w:val="21"/>
                <w:highlight w:val="none"/>
              </w:rPr>
              <w:t>秒）</w:t>
            </w:r>
          </w:p>
          <w:p w14:paraId="5676C498">
            <w:pPr>
              <w:adjustRightInd w:val="0"/>
              <w:snapToGrid w:val="0"/>
              <w:jc w:val="center"/>
              <w:rPr>
                <w:color w:val="auto"/>
                <w:szCs w:val="21"/>
                <w:highlight w:val="none"/>
              </w:rPr>
            </w:pPr>
            <w:r>
              <w:rPr>
                <w:rFonts w:hint="eastAsia"/>
                <w:color w:val="auto"/>
                <w:szCs w:val="21"/>
                <w:highlight w:val="none"/>
              </w:rPr>
              <w:t>终点坐标：（</w:t>
            </w:r>
            <w:r>
              <w:rPr>
                <w:rFonts w:hint="eastAsia"/>
                <w:color w:val="auto"/>
                <w:szCs w:val="21"/>
                <w:highlight w:val="none"/>
                <w:u w:val="single"/>
              </w:rPr>
              <w:t>1</w:t>
            </w:r>
            <w:r>
              <w:rPr>
                <w:rFonts w:hint="eastAsia"/>
                <w:color w:val="auto"/>
                <w:szCs w:val="21"/>
                <w:highlight w:val="none"/>
                <w:u w:val="single"/>
                <w:lang w:val="en-US" w:eastAsia="zh-CN"/>
              </w:rPr>
              <w:t>33</w:t>
            </w:r>
            <w:r>
              <w:rPr>
                <w:rFonts w:hint="eastAsia"/>
                <w:color w:val="auto"/>
                <w:szCs w:val="21"/>
                <w:highlight w:val="none"/>
              </w:rPr>
              <w:t>度</w:t>
            </w:r>
            <w:r>
              <w:rPr>
                <w:rFonts w:hint="eastAsia"/>
                <w:color w:val="auto"/>
                <w:szCs w:val="21"/>
                <w:highlight w:val="none"/>
                <w:u w:val="single"/>
                <w:lang w:val="en-US" w:eastAsia="zh-CN"/>
              </w:rPr>
              <w:t>58</w:t>
            </w:r>
            <w:r>
              <w:rPr>
                <w:rFonts w:hint="eastAsia"/>
                <w:color w:val="auto"/>
                <w:szCs w:val="21"/>
                <w:highlight w:val="none"/>
              </w:rPr>
              <w:t>分</w:t>
            </w:r>
            <w:r>
              <w:rPr>
                <w:rFonts w:hint="eastAsia"/>
                <w:color w:val="auto"/>
                <w:szCs w:val="21"/>
                <w:highlight w:val="none"/>
                <w:u w:val="single"/>
                <w:lang w:val="en-US" w:eastAsia="zh-CN"/>
              </w:rPr>
              <w:t>19.365</w:t>
            </w:r>
            <w:r>
              <w:rPr>
                <w:rFonts w:hint="eastAsia"/>
                <w:color w:val="auto"/>
                <w:szCs w:val="21"/>
                <w:highlight w:val="none"/>
              </w:rPr>
              <w:t>秒，</w:t>
            </w:r>
            <w:r>
              <w:rPr>
                <w:rFonts w:hint="eastAsia"/>
                <w:color w:val="auto"/>
                <w:szCs w:val="21"/>
                <w:highlight w:val="none"/>
                <w:u w:val="single"/>
                <w:lang w:val="en-US" w:eastAsia="zh-CN"/>
              </w:rPr>
              <w:t>46</w:t>
            </w:r>
            <w:r>
              <w:rPr>
                <w:rFonts w:hint="eastAsia"/>
                <w:color w:val="auto"/>
                <w:szCs w:val="21"/>
                <w:highlight w:val="none"/>
              </w:rPr>
              <w:t>度</w:t>
            </w:r>
            <w:r>
              <w:rPr>
                <w:rFonts w:hint="eastAsia"/>
                <w:color w:val="auto"/>
                <w:szCs w:val="21"/>
                <w:highlight w:val="none"/>
                <w:u w:val="single"/>
                <w:lang w:val="en-US" w:eastAsia="zh-CN"/>
              </w:rPr>
              <w:t>50</w:t>
            </w:r>
            <w:r>
              <w:rPr>
                <w:rFonts w:hint="eastAsia"/>
                <w:color w:val="auto"/>
                <w:szCs w:val="21"/>
                <w:highlight w:val="none"/>
              </w:rPr>
              <w:t>分</w:t>
            </w:r>
            <w:r>
              <w:rPr>
                <w:rFonts w:hint="eastAsia"/>
                <w:color w:val="auto"/>
                <w:szCs w:val="21"/>
                <w:highlight w:val="none"/>
                <w:u w:val="single"/>
                <w:lang w:val="en-US" w:eastAsia="zh-CN"/>
              </w:rPr>
              <w:t>10.947</w:t>
            </w:r>
            <w:r>
              <w:rPr>
                <w:rFonts w:hint="eastAsia"/>
                <w:color w:val="auto"/>
                <w:szCs w:val="21"/>
                <w:highlight w:val="none"/>
              </w:rPr>
              <w:t>秒）</w:t>
            </w:r>
          </w:p>
        </w:tc>
      </w:tr>
      <w:tr w14:paraId="013850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864" w:type="pct"/>
            <w:tcMar>
              <w:top w:w="16" w:type="dxa"/>
              <w:left w:w="16" w:type="dxa"/>
              <w:right w:w="16" w:type="dxa"/>
            </w:tcMar>
            <w:vAlign w:val="center"/>
          </w:tcPr>
          <w:p w14:paraId="0F743B3E">
            <w:pPr>
              <w:adjustRightInd w:val="0"/>
              <w:snapToGrid w:val="0"/>
              <w:jc w:val="center"/>
              <w:rPr>
                <w:color w:val="auto"/>
                <w:szCs w:val="21"/>
                <w:highlight w:val="none"/>
              </w:rPr>
            </w:pPr>
            <w:r>
              <w:rPr>
                <w:color w:val="auto"/>
                <w:szCs w:val="21"/>
                <w:highlight w:val="none"/>
              </w:rPr>
              <w:t>建设项目</w:t>
            </w:r>
          </w:p>
          <w:p w14:paraId="791179BC">
            <w:pPr>
              <w:adjustRightInd w:val="0"/>
              <w:snapToGrid w:val="0"/>
              <w:jc w:val="center"/>
              <w:rPr>
                <w:color w:val="auto"/>
                <w:szCs w:val="21"/>
                <w:highlight w:val="none"/>
              </w:rPr>
            </w:pPr>
            <w:r>
              <w:rPr>
                <w:color w:val="auto"/>
                <w:szCs w:val="21"/>
                <w:highlight w:val="none"/>
              </w:rPr>
              <w:t>行业类别</w:t>
            </w:r>
          </w:p>
        </w:tc>
        <w:tc>
          <w:tcPr>
            <w:tcW w:w="1139" w:type="pct"/>
            <w:vAlign w:val="center"/>
          </w:tcPr>
          <w:p w14:paraId="2E7814B0">
            <w:pPr>
              <w:adjustRightInd w:val="0"/>
              <w:snapToGrid w:val="0"/>
              <w:jc w:val="center"/>
              <w:rPr>
                <w:color w:val="auto"/>
                <w:szCs w:val="21"/>
                <w:highlight w:val="none"/>
              </w:rPr>
            </w:pPr>
            <w:r>
              <w:rPr>
                <w:rFonts w:hint="eastAsia"/>
                <w:color w:val="auto"/>
                <w:szCs w:val="21"/>
                <w:highlight w:val="none"/>
              </w:rPr>
              <w:t>五十一、水利，127、防洪除涝工程中其他</w:t>
            </w:r>
          </w:p>
        </w:tc>
        <w:tc>
          <w:tcPr>
            <w:tcW w:w="1398" w:type="pct"/>
            <w:vAlign w:val="center"/>
          </w:tcPr>
          <w:p w14:paraId="4FBE7349">
            <w:pPr>
              <w:adjustRightInd w:val="0"/>
              <w:snapToGrid w:val="0"/>
              <w:jc w:val="center"/>
              <w:rPr>
                <w:color w:val="auto"/>
                <w:szCs w:val="21"/>
                <w:highlight w:val="none"/>
              </w:rPr>
            </w:pPr>
            <w:r>
              <w:rPr>
                <w:color w:val="auto"/>
                <w:szCs w:val="21"/>
                <w:highlight w:val="none"/>
              </w:rPr>
              <w:t>用地（用海）面积（m</w:t>
            </w:r>
            <w:r>
              <w:rPr>
                <w:color w:val="auto"/>
                <w:szCs w:val="21"/>
                <w:highlight w:val="none"/>
                <w:vertAlign w:val="superscript"/>
              </w:rPr>
              <w:t>2</w:t>
            </w:r>
            <w:r>
              <w:rPr>
                <w:color w:val="auto"/>
                <w:szCs w:val="21"/>
                <w:highlight w:val="none"/>
              </w:rPr>
              <w:t>）/长度（km）</w:t>
            </w:r>
          </w:p>
        </w:tc>
        <w:tc>
          <w:tcPr>
            <w:tcW w:w="1596" w:type="pct"/>
            <w:shd w:val="clear" w:color="auto" w:fill="auto"/>
            <w:vAlign w:val="center"/>
          </w:tcPr>
          <w:p w14:paraId="58599F12">
            <w:pPr>
              <w:jc w:val="center"/>
              <w:rPr>
                <w:rFonts w:hint="eastAsia" w:eastAsia="宋体"/>
                <w:color w:val="auto"/>
                <w:szCs w:val="21"/>
                <w:highlight w:val="none"/>
                <w:lang w:eastAsia="zh-CN"/>
              </w:rPr>
            </w:pPr>
            <w:r>
              <w:rPr>
                <w:rFonts w:hint="eastAsia"/>
                <w:color w:val="auto"/>
                <w:szCs w:val="21"/>
                <w:highlight w:val="none"/>
                <w:lang w:val="en-US" w:eastAsia="zh-CN"/>
              </w:rPr>
              <w:t>0</w:t>
            </w:r>
          </w:p>
        </w:tc>
      </w:tr>
      <w:tr w14:paraId="76A549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864" w:type="pct"/>
            <w:tcMar>
              <w:top w:w="16" w:type="dxa"/>
              <w:left w:w="16" w:type="dxa"/>
              <w:right w:w="16" w:type="dxa"/>
            </w:tcMar>
            <w:vAlign w:val="center"/>
          </w:tcPr>
          <w:p w14:paraId="68724C19">
            <w:pPr>
              <w:adjustRightInd w:val="0"/>
              <w:snapToGrid w:val="0"/>
              <w:jc w:val="center"/>
              <w:rPr>
                <w:color w:val="auto"/>
                <w:szCs w:val="21"/>
                <w:highlight w:val="none"/>
              </w:rPr>
            </w:pPr>
            <w:r>
              <w:rPr>
                <w:color w:val="auto"/>
                <w:szCs w:val="21"/>
                <w:highlight w:val="none"/>
              </w:rPr>
              <w:t>建设性质</w:t>
            </w:r>
          </w:p>
        </w:tc>
        <w:tc>
          <w:tcPr>
            <w:tcW w:w="1139" w:type="pct"/>
            <w:vAlign w:val="center"/>
          </w:tcPr>
          <w:p w14:paraId="03DE4782">
            <w:pPr>
              <w:adjustRightInd w:val="0"/>
              <w:snapToGrid w:val="0"/>
              <w:jc w:val="left"/>
              <w:rPr>
                <w:color w:val="auto"/>
                <w:szCs w:val="21"/>
                <w:highlight w:val="none"/>
              </w:rPr>
            </w:pPr>
            <w:r>
              <w:rPr>
                <w:color w:val="auto"/>
                <w:szCs w:val="21"/>
                <w:highlight w:val="none"/>
              </w:rPr>
              <w:t>□新建（迁建）</w:t>
            </w:r>
          </w:p>
          <w:p w14:paraId="0169FECD">
            <w:pPr>
              <w:adjustRightInd w:val="0"/>
              <w:snapToGrid w:val="0"/>
              <w:jc w:val="left"/>
              <w:rPr>
                <w:color w:val="auto"/>
                <w:szCs w:val="21"/>
                <w:highlight w:val="none"/>
              </w:rPr>
            </w:pPr>
            <w:r>
              <w:rPr>
                <w:color w:val="auto"/>
                <w:szCs w:val="21"/>
                <w:highlight w:val="none"/>
              </w:rPr>
              <w:t>□改建</w:t>
            </w:r>
          </w:p>
          <w:p w14:paraId="5A60B744">
            <w:pPr>
              <w:adjustRightInd w:val="0"/>
              <w:snapToGrid w:val="0"/>
              <w:jc w:val="left"/>
              <w:rPr>
                <w:color w:val="auto"/>
                <w:szCs w:val="21"/>
                <w:highlight w:val="none"/>
              </w:rPr>
            </w:pPr>
            <w:r>
              <w:rPr>
                <w:rFonts w:hint="eastAsia"/>
                <w:color w:val="auto"/>
                <w:szCs w:val="21"/>
                <w:highlight w:val="none"/>
                <w:lang w:eastAsia="zh-CN"/>
              </w:rPr>
              <w:t>☑</w:t>
            </w:r>
            <w:r>
              <w:rPr>
                <w:color w:val="auto"/>
                <w:szCs w:val="21"/>
                <w:highlight w:val="none"/>
              </w:rPr>
              <w:t>扩建</w:t>
            </w:r>
          </w:p>
          <w:p w14:paraId="4B639FC5">
            <w:pPr>
              <w:adjustRightInd w:val="0"/>
              <w:snapToGrid w:val="0"/>
              <w:jc w:val="left"/>
              <w:rPr>
                <w:color w:val="auto"/>
                <w:szCs w:val="21"/>
                <w:highlight w:val="none"/>
              </w:rPr>
            </w:pPr>
            <w:r>
              <w:rPr>
                <w:color w:val="auto"/>
                <w:szCs w:val="21"/>
                <w:highlight w:val="none"/>
              </w:rPr>
              <w:t>□技术改造</w:t>
            </w:r>
          </w:p>
        </w:tc>
        <w:tc>
          <w:tcPr>
            <w:tcW w:w="1398" w:type="pct"/>
            <w:vAlign w:val="center"/>
          </w:tcPr>
          <w:p w14:paraId="47F5155E">
            <w:pPr>
              <w:adjustRightInd w:val="0"/>
              <w:snapToGrid w:val="0"/>
              <w:jc w:val="center"/>
              <w:rPr>
                <w:color w:val="auto"/>
                <w:szCs w:val="21"/>
                <w:highlight w:val="none"/>
              </w:rPr>
            </w:pPr>
            <w:r>
              <w:rPr>
                <w:color w:val="auto"/>
                <w:szCs w:val="21"/>
                <w:highlight w:val="none"/>
              </w:rPr>
              <w:t>建设项目</w:t>
            </w:r>
          </w:p>
          <w:p w14:paraId="204197F5">
            <w:pPr>
              <w:adjustRightInd w:val="0"/>
              <w:snapToGrid w:val="0"/>
              <w:jc w:val="center"/>
              <w:rPr>
                <w:color w:val="auto"/>
                <w:szCs w:val="21"/>
                <w:highlight w:val="none"/>
              </w:rPr>
            </w:pPr>
            <w:r>
              <w:rPr>
                <w:color w:val="auto"/>
                <w:szCs w:val="21"/>
                <w:highlight w:val="none"/>
              </w:rPr>
              <w:t>申报情形</w:t>
            </w:r>
          </w:p>
        </w:tc>
        <w:tc>
          <w:tcPr>
            <w:tcW w:w="1596" w:type="pct"/>
            <w:vAlign w:val="center"/>
          </w:tcPr>
          <w:p w14:paraId="0F6F5F8F">
            <w:pPr>
              <w:adjustRightInd w:val="0"/>
              <w:snapToGrid w:val="0"/>
              <w:jc w:val="left"/>
              <w:rPr>
                <w:color w:val="auto"/>
                <w:szCs w:val="21"/>
                <w:highlight w:val="none"/>
              </w:rPr>
            </w:pPr>
            <w:r>
              <w:rPr>
                <w:rStyle w:val="53"/>
                <w:color w:val="auto"/>
                <w:highlight w:val="none"/>
              </w:rPr>
              <w:t></w:t>
            </w:r>
            <w:r>
              <w:rPr>
                <w:color w:val="auto"/>
                <w:szCs w:val="21"/>
                <w:highlight w:val="none"/>
              </w:rPr>
              <w:t>首次申报项目</w:t>
            </w:r>
          </w:p>
          <w:p w14:paraId="3EB1A45A">
            <w:pPr>
              <w:adjustRightInd w:val="0"/>
              <w:snapToGrid w:val="0"/>
              <w:jc w:val="left"/>
              <w:rPr>
                <w:color w:val="auto"/>
                <w:szCs w:val="21"/>
                <w:highlight w:val="none"/>
              </w:rPr>
            </w:pPr>
            <w:r>
              <w:rPr>
                <w:color w:val="auto"/>
                <w:szCs w:val="21"/>
                <w:highlight w:val="none"/>
              </w:rPr>
              <w:t>□不予批准后再次申报项目</w:t>
            </w:r>
          </w:p>
          <w:p w14:paraId="3FFADB66">
            <w:pPr>
              <w:adjustRightInd w:val="0"/>
              <w:snapToGrid w:val="0"/>
              <w:jc w:val="left"/>
              <w:rPr>
                <w:color w:val="auto"/>
                <w:szCs w:val="21"/>
                <w:highlight w:val="none"/>
              </w:rPr>
            </w:pPr>
            <w:r>
              <w:rPr>
                <w:color w:val="auto"/>
                <w:szCs w:val="21"/>
                <w:highlight w:val="none"/>
              </w:rPr>
              <w:t>□超五年重新审核项目</w:t>
            </w:r>
          </w:p>
          <w:p w14:paraId="15BFB591">
            <w:pPr>
              <w:adjustRightInd w:val="0"/>
              <w:snapToGrid w:val="0"/>
              <w:rPr>
                <w:color w:val="auto"/>
                <w:szCs w:val="21"/>
                <w:highlight w:val="none"/>
              </w:rPr>
            </w:pPr>
            <w:r>
              <w:rPr>
                <w:color w:val="auto"/>
                <w:szCs w:val="21"/>
                <w:highlight w:val="none"/>
              </w:rPr>
              <w:t>□重大变动重新报批项目</w:t>
            </w:r>
          </w:p>
        </w:tc>
      </w:tr>
      <w:tr w14:paraId="58C3B0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864" w:type="pct"/>
            <w:tcMar>
              <w:top w:w="16" w:type="dxa"/>
              <w:left w:w="16" w:type="dxa"/>
              <w:right w:w="16" w:type="dxa"/>
            </w:tcMar>
            <w:vAlign w:val="center"/>
          </w:tcPr>
          <w:p w14:paraId="3E028F51">
            <w:pPr>
              <w:adjustRightInd w:val="0"/>
              <w:snapToGrid w:val="0"/>
              <w:rPr>
                <w:color w:val="auto"/>
                <w:szCs w:val="21"/>
                <w:highlight w:val="none"/>
              </w:rPr>
            </w:pPr>
            <w:r>
              <w:rPr>
                <w:color w:val="auto"/>
                <w:szCs w:val="21"/>
                <w:highlight w:val="none"/>
              </w:rPr>
              <w:t>项目审批（核准/备案）部门（选填）</w:t>
            </w:r>
          </w:p>
        </w:tc>
        <w:tc>
          <w:tcPr>
            <w:tcW w:w="1139" w:type="pct"/>
            <w:vAlign w:val="center"/>
          </w:tcPr>
          <w:p w14:paraId="0340F72A">
            <w:pPr>
              <w:adjustRightInd w:val="0"/>
              <w:snapToGrid w:val="0"/>
              <w:jc w:val="center"/>
              <w:rPr>
                <w:color w:val="auto"/>
                <w:szCs w:val="21"/>
                <w:highlight w:val="none"/>
              </w:rPr>
            </w:pPr>
            <w:r>
              <w:rPr>
                <w:rFonts w:hint="eastAsia"/>
                <w:color w:val="auto"/>
                <w:szCs w:val="21"/>
                <w:highlight w:val="none"/>
              </w:rPr>
              <w:t>-</w:t>
            </w:r>
            <w:r>
              <w:rPr>
                <w:color w:val="auto"/>
                <w:szCs w:val="21"/>
                <w:highlight w:val="none"/>
              </w:rPr>
              <w:t>---</w:t>
            </w:r>
          </w:p>
        </w:tc>
        <w:tc>
          <w:tcPr>
            <w:tcW w:w="1398" w:type="pct"/>
            <w:vAlign w:val="center"/>
          </w:tcPr>
          <w:p w14:paraId="6E56A679">
            <w:pPr>
              <w:adjustRightInd w:val="0"/>
              <w:snapToGrid w:val="0"/>
              <w:jc w:val="center"/>
              <w:rPr>
                <w:color w:val="auto"/>
                <w:szCs w:val="21"/>
                <w:highlight w:val="none"/>
              </w:rPr>
            </w:pPr>
            <w:r>
              <w:rPr>
                <w:color w:val="auto"/>
                <w:szCs w:val="21"/>
                <w:highlight w:val="none"/>
              </w:rPr>
              <w:t>项目审批（核准/</w:t>
            </w:r>
          </w:p>
          <w:p w14:paraId="0D3D7436">
            <w:pPr>
              <w:adjustRightInd w:val="0"/>
              <w:snapToGrid w:val="0"/>
              <w:jc w:val="center"/>
              <w:rPr>
                <w:color w:val="auto"/>
                <w:szCs w:val="21"/>
                <w:highlight w:val="none"/>
              </w:rPr>
            </w:pPr>
            <w:r>
              <w:rPr>
                <w:color w:val="auto"/>
                <w:szCs w:val="21"/>
                <w:highlight w:val="none"/>
              </w:rPr>
              <w:t>备案）文号（选填）</w:t>
            </w:r>
          </w:p>
        </w:tc>
        <w:tc>
          <w:tcPr>
            <w:tcW w:w="1596" w:type="pct"/>
            <w:vAlign w:val="center"/>
          </w:tcPr>
          <w:p w14:paraId="099FF697">
            <w:pPr>
              <w:adjustRightInd w:val="0"/>
              <w:snapToGrid w:val="0"/>
              <w:jc w:val="center"/>
              <w:rPr>
                <w:color w:val="auto"/>
                <w:szCs w:val="21"/>
                <w:highlight w:val="none"/>
              </w:rPr>
            </w:pPr>
            <w:r>
              <w:rPr>
                <w:rFonts w:hint="eastAsia"/>
                <w:color w:val="auto"/>
                <w:szCs w:val="21"/>
                <w:highlight w:val="none"/>
              </w:rPr>
              <w:t>-</w:t>
            </w:r>
            <w:r>
              <w:rPr>
                <w:color w:val="auto"/>
                <w:szCs w:val="21"/>
                <w:highlight w:val="none"/>
              </w:rPr>
              <w:t>---</w:t>
            </w:r>
          </w:p>
        </w:tc>
      </w:tr>
      <w:tr w14:paraId="7A4AD0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864" w:type="pct"/>
            <w:tcMar>
              <w:top w:w="16" w:type="dxa"/>
              <w:left w:w="16" w:type="dxa"/>
              <w:right w:w="16" w:type="dxa"/>
            </w:tcMar>
            <w:vAlign w:val="center"/>
          </w:tcPr>
          <w:p w14:paraId="66555BC8">
            <w:pPr>
              <w:adjustRightInd w:val="0"/>
              <w:snapToGrid w:val="0"/>
              <w:jc w:val="center"/>
              <w:rPr>
                <w:color w:val="auto"/>
                <w:szCs w:val="21"/>
                <w:highlight w:val="none"/>
              </w:rPr>
            </w:pPr>
            <w:r>
              <w:rPr>
                <w:color w:val="auto"/>
                <w:szCs w:val="21"/>
                <w:highlight w:val="none"/>
              </w:rPr>
              <w:t>总投资（万元）</w:t>
            </w:r>
          </w:p>
        </w:tc>
        <w:tc>
          <w:tcPr>
            <w:tcW w:w="1139" w:type="pct"/>
            <w:vAlign w:val="center"/>
          </w:tcPr>
          <w:p w14:paraId="73AEFB58">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819.99</w:t>
            </w:r>
          </w:p>
        </w:tc>
        <w:tc>
          <w:tcPr>
            <w:tcW w:w="1398" w:type="pct"/>
            <w:tcMar>
              <w:top w:w="16" w:type="dxa"/>
              <w:left w:w="16" w:type="dxa"/>
              <w:right w:w="16" w:type="dxa"/>
            </w:tcMar>
            <w:vAlign w:val="center"/>
          </w:tcPr>
          <w:p w14:paraId="1AED4A32">
            <w:pPr>
              <w:adjustRightInd w:val="0"/>
              <w:snapToGrid w:val="0"/>
              <w:jc w:val="center"/>
              <w:rPr>
                <w:color w:val="auto"/>
                <w:szCs w:val="21"/>
                <w:highlight w:val="none"/>
              </w:rPr>
            </w:pPr>
            <w:r>
              <w:rPr>
                <w:color w:val="auto"/>
                <w:szCs w:val="21"/>
                <w:highlight w:val="none"/>
              </w:rPr>
              <w:t>环保投资（万元）</w:t>
            </w:r>
          </w:p>
        </w:tc>
        <w:tc>
          <w:tcPr>
            <w:tcW w:w="1596" w:type="pct"/>
            <w:vAlign w:val="center"/>
          </w:tcPr>
          <w:p w14:paraId="1C4410F2">
            <w:pPr>
              <w:adjustRightInd w:val="0"/>
              <w:snapToGrid w:val="0"/>
              <w:jc w:val="center"/>
              <w:rPr>
                <w:color w:val="auto"/>
                <w:szCs w:val="21"/>
                <w:highlight w:val="none"/>
              </w:rPr>
            </w:pPr>
            <w:r>
              <w:rPr>
                <w:rFonts w:hint="eastAsia"/>
                <w:color w:val="auto"/>
                <w:szCs w:val="21"/>
                <w:highlight w:val="none"/>
                <w:lang w:val="en-US" w:eastAsia="zh-CN"/>
              </w:rPr>
              <w:t>56.96</w:t>
            </w:r>
          </w:p>
        </w:tc>
      </w:tr>
      <w:tr w14:paraId="57037D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4" w:type="pct"/>
            <w:tcMar>
              <w:top w:w="16" w:type="dxa"/>
              <w:left w:w="16" w:type="dxa"/>
              <w:right w:w="16" w:type="dxa"/>
            </w:tcMar>
            <w:vAlign w:val="center"/>
          </w:tcPr>
          <w:p w14:paraId="233D2894">
            <w:pPr>
              <w:adjustRightInd w:val="0"/>
              <w:snapToGrid w:val="0"/>
              <w:jc w:val="center"/>
              <w:rPr>
                <w:color w:val="auto"/>
                <w:szCs w:val="21"/>
                <w:highlight w:val="none"/>
              </w:rPr>
            </w:pPr>
            <w:r>
              <w:rPr>
                <w:color w:val="auto"/>
                <w:szCs w:val="21"/>
                <w:highlight w:val="none"/>
              </w:rPr>
              <w:t>环保投资占比（%）</w:t>
            </w:r>
          </w:p>
        </w:tc>
        <w:tc>
          <w:tcPr>
            <w:tcW w:w="1139" w:type="pct"/>
            <w:vAlign w:val="center"/>
          </w:tcPr>
          <w:p w14:paraId="7C4A769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6.95</w:t>
            </w:r>
          </w:p>
        </w:tc>
        <w:tc>
          <w:tcPr>
            <w:tcW w:w="1398" w:type="pct"/>
            <w:tcMar>
              <w:top w:w="16" w:type="dxa"/>
              <w:left w:w="16" w:type="dxa"/>
              <w:right w:w="16" w:type="dxa"/>
            </w:tcMar>
            <w:vAlign w:val="center"/>
          </w:tcPr>
          <w:p w14:paraId="4FB3EA2D">
            <w:pPr>
              <w:adjustRightInd w:val="0"/>
              <w:snapToGrid w:val="0"/>
              <w:jc w:val="center"/>
              <w:rPr>
                <w:color w:val="auto"/>
                <w:szCs w:val="21"/>
                <w:highlight w:val="none"/>
              </w:rPr>
            </w:pPr>
            <w:r>
              <w:rPr>
                <w:color w:val="auto"/>
                <w:szCs w:val="21"/>
                <w:highlight w:val="none"/>
              </w:rPr>
              <w:t>施工工期</w:t>
            </w:r>
          </w:p>
        </w:tc>
        <w:tc>
          <w:tcPr>
            <w:tcW w:w="1596" w:type="pct"/>
            <w:vAlign w:val="center"/>
          </w:tcPr>
          <w:p w14:paraId="771CF798">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一个月</w:t>
            </w:r>
          </w:p>
          <w:p w14:paraId="442B9517">
            <w:pPr>
              <w:adjustRightInd w:val="0"/>
              <w:snapToGrid w:val="0"/>
              <w:jc w:val="center"/>
              <w:rPr>
                <w:color w:val="auto"/>
                <w:szCs w:val="21"/>
                <w:highlight w:val="none"/>
              </w:rPr>
            </w:pPr>
            <w:r>
              <w:rPr>
                <w:color w:val="auto"/>
                <w:szCs w:val="21"/>
                <w:highlight w:val="none"/>
              </w:rPr>
              <w:t>2025年</w:t>
            </w:r>
            <w:r>
              <w:rPr>
                <w:rFonts w:hint="eastAsia"/>
                <w:color w:val="auto"/>
                <w:szCs w:val="21"/>
                <w:highlight w:val="none"/>
                <w:lang w:val="en-US" w:eastAsia="zh-CN"/>
              </w:rPr>
              <w:t>6</w:t>
            </w:r>
            <w:r>
              <w:rPr>
                <w:color w:val="auto"/>
                <w:szCs w:val="21"/>
                <w:highlight w:val="none"/>
              </w:rPr>
              <w:t>月</w:t>
            </w:r>
            <w:r>
              <w:rPr>
                <w:rFonts w:hint="eastAsia"/>
                <w:color w:val="auto"/>
                <w:szCs w:val="21"/>
                <w:highlight w:val="none"/>
              </w:rPr>
              <w:t>-</w:t>
            </w:r>
            <w:r>
              <w:rPr>
                <w:color w:val="auto"/>
                <w:szCs w:val="21"/>
                <w:highlight w:val="none"/>
              </w:rPr>
              <w:t>2025</w:t>
            </w:r>
            <w:r>
              <w:rPr>
                <w:rFonts w:hint="eastAsia"/>
                <w:color w:val="auto"/>
                <w:szCs w:val="21"/>
                <w:highlight w:val="none"/>
              </w:rPr>
              <w:t>年</w:t>
            </w:r>
            <w:r>
              <w:rPr>
                <w:rFonts w:hint="eastAsia"/>
                <w:color w:val="auto"/>
                <w:szCs w:val="21"/>
                <w:highlight w:val="none"/>
                <w:lang w:val="en-US" w:eastAsia="zh-CN"/>
              </w:rPr>
              <w:t>7</w:t>
            </w:r>
            <w:r>
              <w:rPr>
                <w:rFonts w:hint="eastAsia"/>
                <w:color w:val="auto"/>
                <w:szCs w:val="21"/>
                <w:highlight w:val="none"/>
              </w:rPr>
              <w:t>月</w:t>
            </w:r>
          </w:p>
        </w:tc>
      </w:tr>
      <w:tr w14:paraId="406B2D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864" w:type="pct"/>
            <w:tcMar>
              <w:top w:w="16" w:type="dxa"/>
              <w:left w:w="16" w:type="dxa"/>
              <w:right w:w="16" w:type="dxa"/>
            </w:tcMar>
            <w:vAlign w:val="center"/>
          </w:tcPr>
          <w:p w14:paraId="3C01EBFF">
            <w:pPr>
              <w:adjustRightInd w:val="0"/>
              <w:snapToGrid w:val="0"/>
              <w:jc w:val="center"/>
              <w:rPr>
                <w:color w:val="auto"/>
                <w:szCs w:val="21"/>
                <w:highlight w:val="none"/>
              </w:rPr>
            </w:pPr>
            <w:r>
              <w:rPr>
                <w:color w:val="auto"/>
                <w:szCs w:val="21"/>
                <w:highlight w:val="none"/>
              </w:rPr>
              <w:t>是否开工建设</w:t>
            </w:r>
          </w:p>
        </w:tc>
        <w:tc>
          <w:tcPr>
            <w:tcW w:w="4135" w:type="pct"/>
            <w:gridSpan w:val="3"/>
            <w:vAlign w:val="center"/>
          </w:tcPr>
          <w:p w14:paraId="38ED52CD">
            <w:pPr>
              <w:adjustRightInd w:val="0"/>
              <w:snapToGrid w:val="0"/>
              <w:ind w:firstLine="105"/>
              <w:jc w:val="left"/>
              <w:rPr>
                <w:rStyle w:val="53"/>
                <w:color w:val="auto"/>
                <w:highlight w:val="none"/>
              </w:rPr>
            </w:pPr>
            <w:r>
              <w:rPr>
                <w:rStyle w:val="53"/>
                <w:rFonts w:hint="eastAsia"/>
                <w:color w:val="auto"/>
                <w:highlight w:val="none"/>
              </w:rPr>
              <w:t>R否</w:t>
            </w:r>
          </w:p>
          <w:p w14:paraId="6E3D4ACB">
            <w:pPr>
              <w:adjustRightInd w:val="0"/>
              <w:snapToGrid w:val="0"/>
              <w:ind w:firstLine="92"/>
              <w:jc w:val="left"/>
              <w:rPr>
                <w:color w:val="auto"/>
                <w:szCs w:val="21"/>
                <w:highlight w:val="none"/>
              </w:rPr>
            </w:pPr>
            <w:r>
              <w:rPr>
                <w:rStyle w:val="53"/>
                <w:rFonts w:hint="eastAsia"/>
                <w:color w:val="auto"/>
                <w:highlight w:val="none"/>
              </w:rPr>
              <w:t>£是</w:t>
            </w:r>
          </w:p>
        </w:tc>
      </w:tr>
      <w:tr w14:paraId="661F0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20" w:hRule="atLeast"/>
        </w:trPr>
        <w:tc>
          <w:tcPr>
            <w:tcW w:w="864" w:type="pct"/>
            <w:tcMar>
              <w:top w:w="16" w:type="dxa"/>
              <w:left w:w="16" w:type="dxa"/>
              <w:right w:w="16" w:type="dxa"/>
            </w:tcMar>
            <w:vAlign w:val="center"/>
          </w:tcPr>
          <w:p w14:paraId="6AC90C94">
            <w:pPr>
              <w:autoSpaceDE w:val="0"/>
              <w:autoSpaceDN w:val="0"/>
              <w:adjustRightInd w:val="0"/>
              <w:snapToGrid w:val="0"/>
              <w:jc w:val="center"/>
              <w:rPr>
                <w:color w:val="FF0000"/>
                <w:kern w:val="0"/>
                <w:szCs w:val="21"/>
                <w:highlight w:val="none"/>
              </w:rPr>
            </w:pPr>
            <w:r>
              <w:rPr>
                <w:color w:val="auto"/>
                <w:kern w:val="0"/>
                <w:szCs w:val="21"/>
                <w:highlight w:val="none"/>
              </w:rPr>
              <w:t>专项评价设置情况</w:t>
            </w:r>
          </w:p>
        </w:tc>
        <w:tc>
          <w:tcPr>
            <w:tcW w:w="4135" w:type="pct"/>
            <w:gridSpan w:val="3"/>
            <w:tcMar>
              <w:top w:w="16" w:type="dxa"/>
              <w:left w:w="16" w:type="dxa"/>
              <w:right w:w="16" w:type="dxa"/>
            </w:tcMar>
            <w:vAlign w:val="center"/>
          </w:tcPr>
          <w:p w14:paraId="7D7DF3A5">
            <w:pPr>
              <w:pStyle w:val="56"/>
              <w:ind w:firstLine="420"/>
              <w:jc w:val="left"/>
              <w:rPr>
                <w:color w:val="auto"/>
                <w:highlight w:val="none"/>
              </w:rPr>
            </w:pPr>
            <w:r>
              <w:rPr>
                <w:rFonts w:hint="eastAsia"/>
                <w:color w:val="auto"/>
                <w:highlight w:val="none"/>
              </w:rPr>
              <w:t>根据《建设项目环境影响报告表编制技术指南（生态影响类）（试行）》，项目专项设置情况参照下表。</w:t>
            </w:r>
          </w:p>
          <w:p w14:paraId="3F151FE3">
            <w:pPr>
              <w:pStyle w:val="55"/>
              <w:rPr>
                <w:color w:val="auto"/>
                <w:highlight w:val="none"/>
              </w:rPr>
            </w:pPr>
            <w:r>
              <w:rPr>
                <w:color w:val="auto"/>
                <w:highlight w:val="none"/>
              </w:rPr>
              <w:t>表1-1 专项评价设置情况一览表</w:t>
            </w:r>
          </w:p>
          <w:tbl>
            <w:tblPr>
              <w:tblStyle w:val="7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3979"/>
              <w:gridCol w:w="1260"/>
              <w:gridCol w:w="1048"/>
            </w:tblGrid>
            <w:tr w14:paraId="7662F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781B64E0">
                  <w:pPr>
                    <w:pStyle w:val="51"/>
                    <w:rPr>
                      <w:color w:val="auto"/>
                      <w:highlight w:val="none"/>
                    </w:rPr>
                  </w:pPr>
                  <w:r>
                    <w:rPr>
                      <w:rFonts w:hint="eastAsia"/>
                      <w:color w:val="auto"/>
                      <w:highlight w:val="none"/>
                    </w:rPr>
                    <w:t>专项评价的类别</w:t>
                  </w:r>
                </w:p>
              </w:tc>
              <w:tc>
                <w:tcPr>
                  <w:tcW w:w="2729" w:type="pct"/>
                  <w:vAlign w:val="center"/>
                </w:tcPr>
                <w:p w14:paraId="4DF9D787">
                  <w:pPr>
                    <w:pStyle w:val="51"/>
                    <w:rPr>
                      <w:color w:val="auto"/>
                      <w:highlight w:val="none"/>
                    </w:rPr>
                  </w:pPr>
                  <w:r>
                    <w:rPr>
                      <w:rFonts w:hint="eastAsia"/>
                      <w:color w:val="auto"/>
                      <w:highlight w:val="none"/>
                    </w:rPr>
                    <w:t>涉及项目类别</w:t>
                  </w:r>
                </w:p>
              </w:tc>
              <w:tc>
                <w:tcPr>
                  <w:tcW w:w="864" w:type="pct"/>
                  <w:vAlign w:val="center"/>
                </w:tcPr>
                <w:p w14:paraId="04CE38BA">
                  <w:pPr>
                    <w:pStyle w:val="51"/>
                    <w:rPr>
                      <w:color w:val="auto"/>
                      <w:highlight w:val="none"/>
                    </w:rPr>
                  </w:pPr>
                  <w:r>
                    <w:rPr>
                      <w:rFonts w:hint="eastAsia"/>
                      <w:color w:val="auto"/>
                      <w:highlight w:val="none"/>
                    </w:rPr>
                    <w:t>本项目情况</w:t>
                  </w:r>
                </w:p>
              </w:tc>
              <w:tc>
                <w:tcPr>
                  <w:tcW w:w="719" w:type="pct"/>
                  <w:vAlign w:val="center"/>
                </w:tcPr>
                <w:p w14:paraId="46916191">
                  <w:pPr>
                    <w:pStyle w:val="51"/>
                    <w:rPr>
                      <w:color w:val="auto"/>
                      <w:highlight w:val="none"/>
                    </w:rPr>
                  </w:pPr>
                  <w:r>
                    <w:rPr>
                      <w:rFonts w:hint="eastAsia"/>
                      <w:color w:val="auto"/>
                      <w:highlight w:val="none"/>
                    </w:rPr>
                    <w:t>是否设置专项评价</w:t>
                  </w:r>
                </w:p>
              </w:tc>
            </w:tr>
            <w:tr w14:paraId="65932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4D24CE6B">
                  <w:pPr>
                    <w:pStyle w:val="51"/>
                    <w:rPr>
                      <w:color w:val="auto"/>
                      <w:highlight w:val="none"/>
                    </w:rPr>
                  </w:pPr>
                  <w:r>
                    <w:rPr>
                      <w:rFonts w:hint="eastAsia"/>
                      <w:color w:val="auto"/>
                      <w:highlight w:val="none"/>
                    </w:rPr>
                    <w:t>地表水</w:t>
                  </w:r>
                </w:p>
              </w:tc>
              <w:tc>
                <w:tcPr>
                  <w:tcW w:w="2729" w:type="pct"/>
                  <w:vAlign w:val="center"/>
                </w:tcPr>
                <w:p w14:paraId="180FB305">
                  <w:pPr>
                    <w:pStyle w:val="51"/>
                    <w:jc w:val="both"/>
                    <w:rPr>
                      <w:color w:val="auto"/>
                      <w:highlight w:val="none"/>
                    </w:rPr>
                  </w:pPr>
                  <w:r>
                    <w:rPr>
                      <w:rFonts w:hint="eastAsia"/>
                      <w:color w:val="auto"/>
                      <w:highlight w:val="none"/>
                    </w:rPr>
                    <w:t>水力发电：引水式发电、涉及调峰发电的项目；</w:t>
                  </w:r>
                </w:p>
                <w:p w14:paraId="2D53799F">
                  <w:pPr>
                    <w:pStyle w:val="51"/>
                    <w:jc w:val="both"/>
                    <w:rPr>
                      <w:color w:val="auto"/>
                      <w:highlight w:val="none"/>
                    </w:rPr>
                  </w:pPr>
                  <w:r>
                    <w:rPr>
                      <w:rFonts w:hint="eastAsia"/>
                      <w:color w:val="auto"/>
                      <w:highlight w:val="none"/>
                    </w:rPr>
                    <w:t>人工湖、人工湿地：全部；</w:t>
                  </w:r>
                </w:p>
                <w:p w14:paraId="766D8214">
                  <w:pPr>
                    <w:pStyle w:val="51"/>
                    <w:jc w:val="both"/>
                    <w:rPr>
                      <w:color w:val="auto"/>
                      <w:highlight w:val="none"/>
                    </w:rPr>
                  </w:pPr>
                  <w:r>
                    <w:rPr>
                      <w:rFonts w:hint="eastAsia"/>
                      <w:color w:val="auto"/>
                      <w:highlight w:val="none"/>
                    </w:rPr>
                    <w:t>水库：全部；</w:t>
                  </w:r>
                </w:p>
                <w:p w14:paraId="622437BE">
                  <w:pPr>
                    <w:pStyle w:val="51"/>
                    <w:jc w:val="both"/>
                    <w:rPr>
                      <w:color w:val="auto"/>
                      <w:highlight w:val="none"/>
                    </w:rPr>
                  </w:pPr>
                  <w:r>
                    <w:rPr>
                      <w:rFonts w:hint="eastAsia"/>
                      <w:color w:val="auto"/>
                      <w:highlight w:val="none"/>
                    </w:rPr>
                    <w:t>引水工程：全部（配套的管线工程等除外）；</w:t>
                  </w:r>
                </w:p>
                <w:p w14:paraId="227B653E">
                  <w:pPr>
                    <w:pStyle w:val="51"/>
                    <w:jc w:val="both"/>
                    <w:rPr>
                      <w:color w:val="auto"/>
                      <w:highlight w:val="none"/>
                    </w:rPr>
                  </w:pPr>
                  <w:r>
                    <w:rPr>
                      <w:rFonts w:hint="eastAsia"/>
                      <w:color w:val="auto"/>
                      <w:highlight w:val="none"/>
                    </w:rPr>
                    <w:t>防洪除涝工程：包含水库的项目；</w:t>
                  </w:r>
                </w:p>
                <w:p w14:paraId="72E7C09B">
                  <w:pPr>
                    <w:pStyle w:val="51"/>
                    <w:jc w:val="both"/>
                    <w:rPr>
                      <w:color w:val="auto"/>
                      <w:highlight w:val="none"/>
                    </w:rPr>
                  </w:pPr>
                  <w:r>
                    <w:rPr>
                      <w:rFonts w:hint="eastAsia"/>
                      <w:color w:val="auto"/>
                      <w:highlight w:val="none"/>
                    </w:rPr>
                    <w:t>河湖整治：涉及清淤且底泥存在重金属污染的项目</w:t>
                  </w:r>
                </w:p>
              </w:tc>
              <w:tc>
                <w:tcPr>
                  <w:tcW w:w="864" w:type="pct"/>
                  <w:vAlign w:val="center"/>
                </w:tcPr>
                <w:p w14:paraId="3FD4E648">
                  <w:pPr>
                    <w:pStyle w:val="51"/>
                    <w:rPr>
                      <w:color w:val="auto"/>
                      <w:highlight w:val="none"/>
                    </w:rPr>
                  </w:pPr>
                  <w:r>
                    <w:rPr>
                      <w:rFonts w:hint="eastAsia"/>
                      <w:color w:val="auto"/>
                      <w:highlight w:val="none"/>
                    </w:rPr>
                    <w:t>本项目为防洪除涝工程，不涉及水库。</w:t>
                  </w:r>
                </w:p>
              </w:tc>
              <w:tc>
                <w:tcPr>
                  <w:tcW w:w="719" w:type="pct"/>
                  <w:vAlign w:val="center"/>
                </w:tcPr>
                <w:p w14:paraId="340E8AC4">
                  <w:pPr>
                    <w:pStyle w:val="51"/>
                    <w:rPr>
                      <w:color w:val="auto"/>
                      <w:highlight w:val="none"/>
                    </w:rPr>
                  </w:pPr>
                  <w:r>
                    <w:rPr>
                      <w:color w:val="auto"/>
                      <w:highlight w:val="none"/>
                    </w:rPr>
                    <w:t>否</w:t>
                  </w:r>
                </w:p>
              </w:tc>
            </w:tr>
            <w:tr w14:paraId="5CC38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597C261F">
                  <w:pPr>
                    <w:pStyle w:val="51"/>
                    <w:rPr>
                      <w:color w:val="auto"/>
                      <w:highlight w:val="none"/>
                    </w:rPr>
                  </w:pPr>
                  <w:r>
                    <w:rPr>
                      <w:rFonts w:hint="eastAsia"/>
                      <w:color w:val="auto"/>
                      <w:highlight w:val="none"/>
                    </w:rPr>
                    <w:t>地下水</w:t>
                  </w:r>
                </w:p>
              </w:tc>
              <w:tc>
                <w:tcPr>
                  <w:tcW w:w="2729" w:type="pct"/>
                  <w:vAlign w:val="center"/>
                </w:tcPr>
                <w:p w14:paraId="0ACF4B4E">
                  <w:pPr>
                    <w:pStyle w:val="51"/>
                    <w:jc w:val="both"/>
                    <w:rPr>
                      <w:color w:val="auto"/>
                      <w:highlight w:val="none"/>
                    </w:rPr>
                  </w:pPr>
                  <w:r>
                    <w:rPr>
                      <w:rFonts w:hint="eastAsia"/>
                      <w:color w:val="auto"/>
                      <w:highlight w:val="none"/>
                    </w:rPr>
                    <w:t>陆地石油和天然气开采：全部；</w:t>
                  </w:r>
                </w:p>
                <w:p w14:paraId="4D88B338">
                  <w:pPr>
                    <w:pStyle w:val="51"/>
                    <w:jc w:val="both"/>
                    <w:rPr>
                      <w:color w:val="auto"/>
                      <w:highlight w:val="none"/>
                    </w:rPr>
                  </w:pPr>
                  <w:r>
                    <w:rPr>
                      <w:rFonts w:hint="eastAsia"/>
                      <w:color w:val="auto"/>
                      <w:highlight w:val="none"/>
                    </w:rPr>
                    <w:t>地下水（含矿泉水）开采：全部；</w:t>
                  </w:r>
                </w:p>
                <w:p w14:paraId="10505AEA">
                  <w:pPr>
                    <w:pStyle w:val="51"/>
                    <w:jc w:val="both"/>
                    <w:rPr>
                      <w:color w:val="auto"/>
                      <w:highlight w:val="none"/>
                    </w:rPr>
                  </w:pPr>
                  <w:r>
                    <w:rPr>
                      <w:rFonts w:hint="eastAsia"/>
                      <w:color w:val="auto"/>
                      <w:highlight w:val="none"/>
                    </w:rPr>
                    <w:t>水利、水电、交通等：含穿越可溶岩地层隧道的项目</w:t>
                  </w:r>
                </w:p>
              </w:tc>
              <w:tc>
                <w:tcPr>
                  <w:tcW w:w="864" w:type="pct"/>
                  <w:vAlign w:val="center"/>
                </w:tcPr>
                <w:p w14:paraId="75BC883D">
                  <w:pPr>
                    <w:pStyle w:val="51"/>
                    <w:rPr>
                      <w:color w:val="auto"/>
                      <w:highlight w:val="none"/>
                    </w:rPr>
                  </w:pPr>
                  <w:r>
                    <w:rPr>
                      <w:rFonts w:hint="eastAsia"/>
                      <w:color w:val="auto"/>
                      <w:highlight w:val="none"/>
                    </w:rPr>
                    <w:t>不涉及</w:t>
                  </w:r>
                </w:p>
              </w:tc>
              <w:tc>
                <w:tcPr>
                  <w:tcW w:w="719" w:type="pct"/>
                  <w:vAlign w:val="center"/>
                </w:tcPr>
                <w:p w14:paraId="4BDA6CB0">
                  <w:pPr>
                    <w:pStyle w:val="51"/>
                    <w:rPr>
                      <w:color w:val="auto"/>
                      <w:highlight w:val="none"/>
                    </w:rPr>
                  </w:pPr>
                  <w:r>
                    <w:rPr>
                      <w:color w:val="auto"/>
                      <w:highlight w:val="none"/>
                    </w:rPr>
                    <w:t>否</w:t>
                  </w:r>
                </w:p>
              </w:tc>
            </w:tr>
            <w:tr w14:paraId="5218F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53FB2865">
                  <w:pPr>
                    <w:pStyle w:val="51"/>
                    <w:rPr>
                      <w:color w:val="auto"/>
                      <w:highlight w:val="none"/>
                    </w:rPr>
                  </w:pPr>
                  <w:r>
                    <w:rPr>
                      <w:rFonts w:hint="eastAsia"/>
                      <w:color w:val="auto"/>
                      <w:highlight w:val="none"/>
                    </w:rPr>
                    <w:t>生态</w:t>
                  </w:r>
                </w:p>
              </w:tc>
              <w:tc>
                <w:tcPr>
                  <w:tcW w:w="2729" w:type="pct"/>
                  <w:vAlign w:val="center"/>
                </w:tcPr>
                <w:p w14:paraId="65498BF2">
                  <w:pPr>
                    <w:pStyle w:val="51"/>
                    <w:jc w:val="both"/>
                    <w:rPr>
                      <w:color w:val="auto"/>
                      <w:highlight w:val="none"/>
                    </w:rPr>
                  </w:pPr>
                  <w:r>
                    <w:rPr>
                      <w:rFonts w:hint="eastAsia"/>
                      <w:color w:val="auto"/>
                      <w:highlight w:val="none"/>
                    </w:rPr>
                    <w:t>涉及环境敏感区（不包括饮用水水源保护区，以居住、医疗卫生、文化教育、科研、行政办公为主要功能的区域，以及文物保护单位）的项目</w:t>
                  </w:r>
                </w:p>
              </w:tc>
              <w:tc>
                <w:tcPr>
                  <w:tcW w:w="864" w:type="pct"/>
                  <w:vAlign w:val="center"/>
                </w:tcPr>
                <w:p w14:paraId="518ABA46">
                  <w:pPr>
                    <w:pStyle w:val="51"/>
                    <w:rPr>
                      <w:color w:val="auto"/>
                      <w:highlight w:val="none"/>
                    </w:rPr>
                  </w:pPr>
                  <w:r>
                    <w:rPr>
                      <w:rFonts w:hint="eastAsia"/>
                      <w:color w:val="auto"/>
                      <w:highlight w:val="none"/>
                    </w:rPr>
                    <w:t>不涉及</w:t>
                  </w:r>
                </w:p>
              </w:tc>
              <w:tc>
                <w:tcPr>
                  <w:tcW w:w="719" w:type="pct"/>
                  <w:vAlign w:val="center"/>
                </w:tcPr>
                <w:p w14:paraId="32627F34">
                  <w:pPr>
                    <w:pStyle w:val="51"/>
                    <w:rPr>
                      <w:color w:val="auto"/>
                      <w:highlight w:val="none"/>
                    </w:rPr>
                  </w:pPr>
                  <w:r>
                    <w:rPr>
                      <w:color w:val="auto"/>
                      <w:highlight w:val="none"/>
                    </w:rPr>
                    <w:t>否</w:t>
                  </w:r>
                </w:p>
              </w:tc>
            </w:tr>
            <w:tr w14:paraId="6BEDE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22C21655">
                  <w:pPr>
                    <w:pStyle w:val="51"/>
                    <w:rPr>
                      <w:color w:val="auto"/>
                      <w:highlight w:val="none"/>
                    </w:rPr>
                  </w:pPr>
                  <w:r>
                    <w:rPr>
                      <w:rFonts w:hint="eastAsia"/>
                      <w:color w:val="auto"/>
                      <w:highlight w:val="none"/>
                    </w:rPr>
                    <w:t>大气</w:t>
                  </w:r>
                </w:p>
              </w:tc>
              <w:tc>
                <w:tcPr>
                  <w:tcW w:w="2729" w:type="pct"/>
                  <w:vAlign w:val="center"/>
                </w:tcPr>
                <w:p w14:paraId="0ADF8343">
                  <w:pPr>
                    <w:pStyle w:val="51"/>
                    <w:jc w:val="both"/>
                    <w:rPr>
                      <w:color w:val="auto"/>
                      <w:highlight w:val="none"/>
                    </w:rPr>
                  </w:pPr>
                  <w:r>
                    <w:rPr>
                      <w:rFonts w:hint="eastAsia"/>
                      <w:color w:val="auto"/>
                      <w:highlight w:val="none"/>
                    </w:rPr>
                    <w:t>油气、液体化工码头：全部；</w:t>
                  </w:r>
                </w:p>
                <w:p w14:paraId="3BBB66A6">
                  <w:pPr>
                    <w:pStyle w:val="51"/>
                    <w:jc w:val="both"/>
                    <w:rPr>
                      <w:color w:val="auto"/>
                      <w:highlight w:val="none"/>
                    </w:rPr>
                  </w:pPr>
                  <w:r>
                    <w:rPr>
                      <w:rFonts w:hint="eastAsia"/>
                      <w:color w:val="auto"/>
                      <w:highlight w:val="none"/>
                    </w:rPr>
                    <w:t>干散货（含煤炭、矿石）、件杂、多用途、通用码头：涉及粉尘、挥发性有机物排放的项目</w:t>
                  </w:r>
                </w:p>
              </w:tc>
              <w:tc>
                <w:tcPr>
                  <w:tcW w:w="864" w:type="pct"/>
                  <w:vAlign w:val="center"/>
                </w:tcPr>
                <w:p w14:paraId="1F5DC8D2">
                  <w:pPr>
                    <w:pStyle w:val="51"/>
                    <w:rPr>
                      <w:color w:val="auto"/>
                      <w:highlight w:val="none"/>
                    </w:rPr>
                  </w:pPr>
                  <w:r>
                    <w:rPr>
                      <w:rFonts w:hint="eastAsia"/>
                      <w:color w:val="auto"/>
                      <w:highlight w:val="none"/>
                    </w:rPr>
                    <w:t>不涉及</w:t>
                  </w:r>
                </w:p>
              </w:tc>
              <w:tc>
                <w:tcPr>
                  <w:tcW w:w="719" w:type="pct"/>
                  <w:vAlign w:val="center"/>
                </w:tcPr>
                <w:p w14:paraId="07EB7BB3">
                  <w:pPr>
                    <w:pStyle w:val="51"/>
                    <w:rPr>
                      <w:color w:val="auto"/>
                      <w:highlight w:val="none"/>
                    </w:rPr>
                  </w:pPr>
                  <w:r>
                    <w:rPr>
                      <w:color w:val="auto"/>
                      <w:highlight w:val="none"/>
                    </w:rPr>
                    <w:t>否</w:t>
                  </w:r>
                </w:p>
              </w:tc>
            </w:tr>
            <w:tr w14:paraId="40260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204EBBF1">
                  <w:pPr>
                    <w:pStyle w:val="51"/>
                    <w:rPr>
                      <w:color w:val="auto"/>
                      <w:highlight w:val="none"/>
                    </w:rPr>
                  </w:pPr>
                  <w:r>
                    <w:rPr>
                      <w:rFonts w:hint="eastAsia"/>
                      <w:color w:val="auto"/>
                      <w:highlight w:val="none"/>
                    </w:rPr>
                    <w:t>噪声</w:t>
                  </w:r>
                </w:p>
              </w:tc>
              <w:tc>
                <w:tcPr>
                  <w:tcW w:w="2729" w:type="pct"/>
                  <w:vAlign w:val="center"/>
                </w:tcPr>
                <w:p w14:paraId="078CDE4D">
                  <w:pPr>
                    <w:pStyle w:val="51"/>
                    <w:jc w:val="both"/>
                    <w:rPr>
                      <w:color w:val="auto"/>
                      <w:highlight w:val="none"/>
                    </w:rPr>
                  </w:pPr>
                  <w:r>
                    <w:rPr>
                      <w:rFonts w:hint="eastAsia"/>
                      <w:color w:val="auto"/>
                      <w:highlight w:val="none"/>
                    </w:rPr>
                    <w:t>公路、铁路、机场等交通运输业涉及环境敏感区（以居住、医疗卫生、文化教育、科研、行政办公为主要功能的区域）的项目；</w:t>
                  </w:r>
                </w:p>
                <w:p w14:paraId="4238E9F8">
                  <w:pPr>
                    <w:pStyle w:val="51"/>
                    <w:jc w:val="both"/>
                    <w:rPr>
                      <w:color w:val="auto"/>
                      <w:highlight w:val="none"/>
                    </w:rPr>
                  </w:pPr>
                  <w:r>
                    <w:rPr>
                      <w:rFonts w:hint="eastAsia"/>
                      <w:color w:val="auto"/>
                      <w:highlight w:val="none"/>
                    </w:rPr>
                    <w:t>城市道路（不含维护，不含支路、人行天桥、人行地道）：全部</w:t>
                  </w:r>
                </w:p>
              </w:tc>
              <w:tc>
                <w:tcPr>
                  <w:tcW w:w="864" w:type="pct"/>
                  <w:vAlign w:val="center"/>
                </w:tcPr>
                <w:p w14:paraId="1C749933">
                  <w:pPr>
                    <w:pStyle w:val="51"/>
                    <w:rPr>
                      <w:color w:val="auto"/>
                      <w:highlight w:val="none"/>
                    </w:rPr>
                  </w:pPr>
                  <w:r>
                    <w:rPr>
                      <w:rFonts w:hint="eastAsia"/>
                      <w:color w:val="auto"/>
                      <w:highlight w:val="none"/>
                    </w:rPr>
                    <w:t>不涉及</w:t>
                  </w:r>
                </w:p>
              </w:tc>
              <w:tc>
                <w:tcPr>
                  <w:tcW w:w="719" w:type="pct"/>
                  <w:vAlign w:val="center"/>
                </w:tcPr>
                <w:p w14:paraId="2C1572EB">
                  <w:pPr>
                    <w:pStyle w:val="51"/>
                    <w:rPr>
                      <w:color w:val="auto"/>
                      <w:highlight w:val="none"/>
                    </w:rPr>
                  </w:pPr>
                  <w:r>
                    <w:rPr>
                      <w:color w:val="auto"/>
                      <w:highlight w:val="none"/>
                    </w:rPr>
                    <w:t>否</w:t>
                  </w:r>
                </w:p>
              </w:tc>
            </w:tr>
            <w:tr w14:paraId="5B47F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6" w:type="pct"/>
                  <w:vAlign w:val="center"/>
                </w:tcPr>
                <w:p w14:paraId="0DB3C67E">
                  <w:pPr>
                    <w:pStyle w:val="51"/>
                    <w:rPr>
                      <w:color w:val="auto"/>
                      <w:highlight w:val="none"/>
                    </w:rPr>
                  </w:pPr>
                  <w:r>
                    <w:rPr>
                      <w:rFonts w:hint="eastAsia"/>
                      <w:color w:val="auto"/>
                      <w:highlight w:val="none"/>
                    </w:rPr>
                    <w:t>环境风险</w:t>
                  </w:r>
                </w:p>
              </w:tc>
              <w:tc>
                <w:tcPr>
                  <w:tcW w:w="2729" w:type="pct"/>
                  <w:vAlign w:val="center"/>
                </w:tcPr>
                <w:p w14:paraId="44D275B0">
                  <w:pPr>
                    <w:pStyle w:val="51"/>
                    <w:jc w:val="both"/>
                    <w:rPr>
                      <w:color w:val="auto"/>
                      <w:highlight w:val="none"/>
                    </w:rPr>
                  </w:pPr>
                  <w:r>
                    <w:rPr>
                      <w:rFonts w:hint="eastAsia"/>
                      <w:color w:val="auto"/>
                      <w:highlight w:val="none"/>
                    </w:rPr>
                    <w:t>石油和天然气开采：全部；</w:t>
                  </w:r>
                </w:p>
                <w:p w14:paraId="58F9B754">
                  <w:pPr>
                    <w:pStyle w:val="51"/>
                    <w:jc w:val="both"/>
                    <w:rPr>
                      <w:color w:val="auto"/>
                      <w:highlight w:val="none"/>
                    </w:rPr>
                  </w:pPr>
                  <w:r>
                    <w:rPr>
                      <w:rFonts w:hint="eastAsia"/>
                      <w:color w:val="auto"/>
                      <w:highlight w:val="none"/>
                    </w:rPr>
                    <w:t>油气、液体化工码头：全部；</w:t>
                  </w:r>
                </w:p>
                <w:p w14:paraId="7EFAFBE9">
                  <w:pPr>
                    <w:pStyle w:val="51"/>
                    <w:jc w:val="both"/>
                    <w:rPr>
                      <w:color w:val="auto"/>
                      <w:highlight w:val="none"/>
                    </w:rPr>
                  </w:pPr>
                  <w:r>
                    <w:rPr>
                      <w:rFonts w:hint="eastAsia"/>
                      <w:color w:val="auto"/>
                      <w:highlight w:val="none"/>
                    </w:rPr>
                    <w:t>原油、成品油、天然气管线（不含城镇天然气管线、企业厂区内管线），危险化学品输送管线（不含企业厂区内管线）：全部</w:t>
                  </w:r>
                </w:p>
              </w:tc>
              <w:tc>
                <w:tcPr>
                  <w:tcW w:w="864" w:type="pct"/>
                  <w:vAlign w:val="center"/>
                </w:tcPr>
                <w:p w14:paraId="7D9F1725">
                  <w:pPr>
                    <w:pStyle w:val="51"/>
                    <w:rPr>
                      <w:color w:val="auto"/>
                      <w:highlight w:val="none"/>
                    </w:rPr>
                  </w:pPr>
                  <w:r>
                    <w:rPr>
                      <w:rFonts w:hint="eastAsia"/>
                      <w:color w:val="auto"/>
                      <w:highlight w:val="none"/>
                    </w:rPr>
                    <w:t>不涉及</w:t>
                  </w:r>
                </w:p>
              </w:tc>
              <w:tc>
                <w:tcPr>
                  <w:tcW w:w="719" w:type="pct"/>
                  <w:vAlign w:val="center"/>
                </w:tcPr>
                <w:p w14:paraId="1AE13D05">
                  <w:pPr>
                    <w:pStyle w:val="51"/>
                    <w:rPr>
                      <w:color w:val="auto"/>
                      <w:highlight w:val="none"/>
                    </w:rPr>
                  </w:pPr>
                  <w:r>
                    <w:rPr>
                      <w:color w:val="auto"/>
                      <w:highlight w:val="none"/>
                    </w:rPr>
                    <w:t>否</w:t>
                  </w:r>
                </w:p>
              </w:tc>
            </w:tr>
          </w:tbl>
          <w:p w14:paraId="3DF47450">
            <w:pPr>
              <w:autoSpaceDE w:val="0"/>
              <w:autoSpaceDN w:val="0"/>
              <w:adjustRightInd w:val="0"/>
              <w:snapToGrid w:val="0"/>
              <w:spacing w:after="120" w:afterLines="50"/>
              <w:jc w:val="left"/>
              <w:rPr>
                <w:color w:val="FF0000"/>
                <w:kern w:val="0"/>
                <w:szCs w:val="21"/>
                <w:highlight w:val="none"/>
              </w:rPr>
            </w:pPr>
            <w:r>
              <w:rPr>
                <w:rFonts w:hint="eastAsia"/>
                <w:color w:val="auto"/>
                <w:kern w:val="0"/>
                <w:sz w:val="18"/>
                <w:szCs w:val="18"/>
                <w:highlight w:val="none"/>
              </w:rPr>
              <w:t>注：“涉及环境敏感区”是指建设项目位于、穿（跨）越（无害化通过的除外）环境敏感区，或环境影响范围涵盖环境敏感区。环境敏感区是指《建设项目环境影响评价分类管理名录》中针对该类项目所列的敏感区。本工程行业类别为五十一、水利：127、防洪除涝工程，在《建设项目环境影响评价分类管理名录》中未列出环境敏感区，因此本工程无需进行生态专项评价。</w:t>
            </w:r>
          </w:p>
        </w:tc>
      </w:tr>
      <w:tr w14:paraId="1E8138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4" w:hRule="atLeast"/>
        </w:trPr>
        <w:tc>
          <w:tcPr>
            <w:tcW w:w="864" w:type="pct"/>
            <w:tcMar>
              <w:top w:w="16" w:type="dxa"/>
              <w:left w:w="16" w:type="dxa"/>
              <w:right w:w="16" w:type="dxa"/>
            </w:tcMar>
            <w:vAlign w:val="center"/>
          </w:tcPr>
          <w:p w14:paraId="4F412DEF">
            <w:pPr>
              <w:autoSpaceDE w:val="0"/>
              <w:autoSpaceDN w:val="0"/>
              <w:adjustRightInd w:val="0"/>
              <w:snapToGrid w:val="0"/>
              <w:jc w:val="center"/>
              <w:rPr>
                <w:color w:val="auto"/>
                <w:kern w:val="0"/>
                <w:szCs w:val="21"/>
                <w:highlight w:val="none"/>
              </w:rPr>
            </w:pPr>
            <w:r>
              <w:rPr>
                <w:color w:val="auto"/>
                <w:szCs w:val="21"/>
                <w:highlight w:val="none"/>
              </w:rPr>
              <w:t>规划情况</w:t>
            </w:r>
          </w:p>
        </w:tc>
        <w:tc>
          <w:tcPr>
            <w:tcW w:w="4135" w:type="pct"/>
            <w:gridSpan w:val="3"/>
            <w:tcMar>
              <w:top w:w="16" w:type="dxa"/>
              <w:left w:w="16" w:type="dxa"/>
              <w:right w:w="16" w:type="dxa"/>
            </w:tcMar>
            <w:vAlign w:val="center"/>
          </w:tcPr>
          <w:p w14:paraId="18301878">
            <w:pPr>
              <w:autoSpaceDE w:val="0"/>
              <w:autoSpaceDN w:val="0"/>
              <w:adjustRightInd w:val="0"/>
              <w:snapToGrid w:val="0"/>
              <w:jc w:val="center"/>
              <w:rPr>
                <w:color w:val="auto"/>
                <w:kern w:val="0"/>
                <w:szCs w:val="21"/>
                <w:highlight w:val="none"/>
              </w:rPr>
            </w:pPr>
            <w:r>
              <w:rPr>
                <w:rFonts w:hint="default"/>
                <w:color w:val="auto"/>
                <w:kern w:val="0"/>
                <w:szCs w:val="21"/>
                <w:highlight w:val="none"/>
                <w:lang w:val="en-US" w:eastAsia="zh-CN"/>
              </w:rPr>
              <w:t>《黑龙江饶河东北黑蜂国家级自然保护区总体规划》</w:t>
            </w:r>
          </w:p>
        </w:tc>
      </w:tr>
      <w:tr w14:paraId="4DB6B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93" w:hRule="atLeast"/>
        </w:trPr>
        <w:tc>
          <w:tcPr>
            <w:tcW w:w="864" w:type="pct"/>
            <w:tcMar>
              <w:top w:w="16" w:type="dxa"/>
              <w:left w:w="16" w:type="dxa"/>
              <w:right w:w="16" w:type="dxa"/>
            </w:tcMar>
            <w:vAlign w:val="center"/>
          </w:tcPr>
          <w:p w14:paraId="5E71F660">
            <w:pPr>
              <w:autoSpaceDE w:val="0"/>
              <w:autoSpaceDN w:val="0"/>
              <w:adjustRightInd w:val="0"/>
              <w:snapToGrid w:val="0"/>
              <w:jc w:val="center"/>
              <w:rPr>
                <w:color w:val="auto"/>
                <w:szCs w:val="21"/>
                <w:highlight w:val="none"/>
              </w:rPr>
            </w:pPr>
            <w:r>
              <w:rPr>
                <w:color w:val="auto"/>
                <w:szCs w:val="21"/>
                <w:highlight w:val="none"/>
              </w:rPr>
              <w:t>规划环境影响</w:t>
            </w:r>
          </w:p>
          <w:p w14:paraId="55059AA3">
            <w:pPr>
              <w:autoSpaceDE w:val="0"/>
              <w:autoSpaceDN w:val="0"/>
              <w:adjustRightInd w:val="0"/>
              <w:snapToGrid w:val="0"/>
              <w:jc w:val="center"/>
              <w:rPr>
                <w:color w:val="auto"/>
                <w:kern w:val="0"/>
                <w:szCs w:val="21"/>
                <w:highlight w:val="none"/>
              </w:rPr>
            </w:pPr>
            <w:r>
              <w:rPr>
                <w:color w:val="auto"/>
                <w:szCs w:val="21"/>
                <w:highlight w:val="none"/>
              </w:rPr>
              <w:t>评价情况</w:t>
            </w:r>
          </w:p>
        </w:tc>
        <w:tc>
          <w:tcPr>
            <w:tcW w:w="4135" w:type="pct"/>
            <w:gridSpan w:val="3"/>
            <w:tcMar>
              <w:top w:w="16" w:type="dxa"/>
              <w:left w:w="16" w:type="dxa"/>
              <w:right w:w="16" w:type="dxa"/>
            </w:tcMar>
            <w:vAlign w:val="center"/>
          </w:tcPr>
          <w:p w14:paraId="530A5048">
            <w:pPr>
              <w:adjustRightInd w:val="0"/>
              <w:snapToGrid w:val="0"/>
              <w:jc w:val="center"/>
              <w:rPr>
                <w:color w:val="auto"/>
                <w:kern w:val="0"/>
                <w:szCs w:val="21"/>
                <w:highlight w:val="none"/>
              </w:rPr>
            </w:pPr>
            <w:r>
              <w:rPr>
                <w:rFonts w:hint="eastAsia"/>
                <w:color w:val="auto"/>
                <w:kern w:val="0"/>
                <w:szCs w:val="21"/>
                <w:highlight w:val="none"/>
              </w:rPr>
              <w:t>无</w:t>
            </w:r>
          </w:p>
        </w:tc>
      </w:tr>
      <w:tr w14:paraId="082651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35" w:hRule="atLeast"/>
        </w:trPr>
        <w:tc>
          <w:tcPr>
            <w:tcW w:w="864" w:type="pct"/>
            <w:tcMar>
              <w:top w:w="16" w:type="dxa"/>
              <w:left w:w="16" w:type="dxa"/>
              <w:right w:w="16" w:type="dxa"/>
            </w:tcMar>
            <w:vAlign w:val="center"/>
          </w:tcPr>
          <w:p w14:paraId="75B0E8F8">
            <w:pPr>
              <w:autoSpaceDE w:val="0"/>
              <w:autoSpaceDN w:val="0"/>
              <w:adjustRightInd w:val="0"/>
              <w:snapToGrid w:val="0"/>
              <w:jc w:val="center"/>
              <w:rPr>
                <w:color w:val="FF0000"/>
                <w:kern w:val="0"/>
                <w:szCs w:val="21"/>
                <w:highlight w:val="none"/>
              </w:rPr>
            </w:pPr>
            <w:r>
              <w:rPr>
                <w:color w:val="auto"/>
                <w:kern w:val="0"/>
                <w:szCs w:val="21"/>
                <w:highlight w:val="none"/>
              </w:rPr>
              <w:t>规划及</w:t>
            </w:r>
            <w:r>
              <w:rPr>
                <w:color w:val="auto"/>
                <w:szCs w:val="21"/>
                <w:highlight w:val="none"/>
              </w:rPr>
              <w:t>规划环境影响评价</w:t>
            </w:r>
            <w:r>
              <w:rPr>
                <w:color w:val="auto"/>
                <w:kern w:val="0"/>
                <w:szCs w:val="21"/>
                <w:highlight w:val="none"/>
              </w:rPr>
              <w:t>符合性分析</w:t>
            </w:r>
          </w:p>
        </w:tc>
        <w:tc>
          <w:tcPr>
            <w:tcW w:w="4135" w:type="pct"/>
            <w:gridSpan w:val="3"/>
            <w:tcMar>
              <w:top w:w="16" w:type="dxa"/>
              <w:left w:w="16" w:type="dxa"/>
              <w:right w:w="16" w:type="dxa"/>
            </w:tcMar>
            <w:vAlign w:val="center"/>
          </w:tcPr>
          <w:p w14:paraId="5377D113">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与《黑龙江饶河东北黑蜂国家级自然保护区总体规划》的符合性分析</w:t>
            </w:r>
          </w:p>
          <w:p w14:paraId="6F358090">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根据《黑龙江饶河东北黑蜂国家级自然保护区总体规划》内容，黑龙江饶河东北黑蜂国家级自然保护区主要保护对象为东北黑蜂蜂种及蜜源植物，是中国乃至亚洲唯一的国家级蜂种保护区。保护区始建于1980年（黑政发</w:t>
            </w:r>
            <w:r>
              <w:rPr>
                <w:rFonts w:hint="eastAsia"/>
                <w:color w:val="auto"/>
                <w:sz w:val="21"/>
                <w:szCs w:val="21"/>
                <w:highlight w:val="none"/>
                <w:lang w:val="en-US" w:eastAsia="zh-CN"/>
              </w:rPr>
              <w:t>〔1980〕</w:t>
            </w:r>
            <w:r>
              <w:rPr>
                <w:rFonts w:hint="default"/>
                <w:color w:val="auto"/>
                <w:sz w:val="21"/>
                <w:szCs w:val="21"/>
                <w:highlight w:val="none"/>
              </w:rPr>
              <w:t>86号），1997年经国务院批准为国家级自然保护区（国函</w:t>
            </w:r>
            <w:r>
              <w:rPr>
                <w:rFonts w:hint="eastAsia"/>
                <w:color w:val="auto"/>
                <w:sz w:val="21"/>
                <w:szCs w:val="21"/>
                <w:highlight w:val="none"/>
                <w:lang w:val="en-US" w:eastAsia="zh-CN"/>
              </w:rPr>
              <w:t>〔1997〕</w:t>
            </w:r>
            <w:r>
              <w:rPr>
                <w:rFonts w:hint="default"/>
                <w:color w:val="auto"/>
                <w:sz w:val="21"/>
                <w:szCs w:val="21"/>
                <w:highlight w:val="none"/>
              </w:rPr>
              <w:t>109号）。保护区位于我国东北边陲，乌苏里江中下游，属半山区，开发较晚，生物多样性丰富。黑龙江饶河东北黑蜂国家级自然保护区是纯种东北黑蜂的主要生活区域，东北黑蜂的各项生理指标均明显优于世界四大著名蜂种，是其它蜂种不可比拟的，是我国乃至世界不可多得的极其宝贵的蜜蜂基因库。2006年东北黑蜂被列入中国首批国家级畜禽遗传资源保种名录。因此，不论从生物多样性，还是物种资源的珍稀性重要性来看，黑龙江饶河东北黑蜂国家级自然保护区均具有极高的保护价值。</w:t>
            </w:r>
          </w:p>
          <w:p w14:paraId="5988E350">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黑龙江饶河东北黑蜂国家级自然保护区总体规划》4.1.4提出：“实验区：位于缓冲区外围，可以进入从事科学试验、教学实习、参观考察、旅游等活动，但严禁非东北黑蜂种群在此区域放养。实验区内蜜粉源植物分布较少，可适度开展传统生产、科学实验、宣传教育、生态旅游、管理服务和自然恢复。保护区的建设与社区居民的生存和发展紧密相关，对实验区的管护应当兼顾社区发展，实施开放式保护，具体方式如下：</w:t>
            </w:r>
          </w:p>
          <w:p w14:paraId="533F3478">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（1）实验区内严禁非东北黑蜂种群在此区域放养；</w:t>
            </w:r>
          </w:p>
          <w:p w14:paraId="40D98736">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（2）实验区内的社区居民和有关单位，应在保护区有关规定下进行生产经营；</w:t>
            </w:r>
          </w:p>
          <w:p w14:paraId="5488B48B">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（3）经管理机构批准后，可以在实验区内进行科学研究、教学实习、参观考察、生态旅游等活动；</w:t>
            </w:r>
          </w:p>
          <w:p w14:paraId="41C63450">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color w:val="auto"/>
                <w:sz w:val="21"/>
                <w:szCs w:val="21"/>
                <w:highlight w:val="none"/>
              </w:rPr>
            </w:pPr>
            <w:r>
              <w:rPr>
                <w:rFonts w:hint="default"/>
                <w:color w:val="auto"/>
                <w:sz w:val="21"/>
                <w:szCs w:val="21"/>
                <w:highlight w:val="none"/>
              </w:rPr>
              <w:t>（4）保护区管理机构协同地方政府着力开展资源的适度开发、合理利用的研究、技术研发和生产试验。”</w:t>
            </w:r>
          </w:p>
          <w:p w14:paraId="2D440B95">
            <w:pPr>
              <w:keepNext w:val="0"/>
              <w:keepLines w:val="0"/>
              <w:pageBreakBefore w:val="0"/>
              <w:widowControl w:val="0"/>
              <w:kinsoku/>
              <w:wordWrap/>
              <w:overflowPunct/>
              <w:topLinePunct w:val="0"/>
              <w:bidi w:val="0"/>
              <w:adjustRightInd/>
              <w:snapToGrid/>
              <w:spacing w:line="360" w:lineRule="auto"/>
              <w:ind w:firstLine="420" w:firstLineChars="200"/>
              <w:textAlignment w:val="auto"/>
              <w:rPr>
                <w:color w:val="FF0000"/>
                <w:kern w:val="0"/>
                <w:szCs w:val="21"/>
                <w:highlight w:val="none"/>
              </w:rPr>
            </w:pPr>
            <w:r>
              <w:rPr>
                <w:rFonts w:hint="default"/>
                <w:color w:val="auto"/>
                <w:sz w:val="21"/>
                <w:szCs w:val="21"/>
                <w:highlight w:val="none"/>
              </w:rPr>
              <w:t>本项目位于黑龙江饶河东北黑蜂国家级自然保护区实验区内，为防洪除涝工程，本项目不新增</w:t>
            </w:r>
            <w:r>
              <w:rPr>
                <w:rFonts w:hint="default"/>
                <w:color w:val="auto"/>
                <w:sz w:val="21"/>
                <w:szCs w:val="21"/>
                <w:highlight w:val="none"/>
                <w:lang w:eastAsia="zh-CN"/>
              </w:rPr>
              <w:t>永久</w:t>
            </w:r>
            <w:r>
              <w:rPr>
                <w:rFonts w:hint="default"/>
                <w:color w:val="auto"/>
                <w:sz w:val="21"/>
                <w:szCs w:val="21"/>
                <w:highlight w:val="none"/>
              </w:rPr>
              <w:t>占地</w:t>
            </w:r>
            <w:r>
              <w:rPr>
                <w:rFonts w:hint="eastAsia"/>
                <w:color w:val="auto"/>
                <w:sz w:val="21"/>
                <w:szCs w:val="21"/>
                <w:highlight w:val="none"/>
                <w:lang w:val="en-US" w:eastAsia="zh-CN"/>
              </w:rPr>
              <w:t>及临时占地</w:t>
            </w:r>
            <w:r>
              <w:rPr>
                <w:rFonts w:hint="default"/>
                <w:color w:val="auto"/>
                <w:sz w:val="21"/>
                <w:szCs w:val="21"/>
                <w:highlight w:val="none"/>
              </w:rPr>
              <w:t>，项目建成后，有效提高堤防洪水防御能力，保证区内人民的生命财产和基本农田安全</w:t>
            </w:r>
            <w:r>
              <w:rPr>
                <w:rFonts w:hint="default"/>
                <w:color w:val="auto"/>
                <w:sz w:val="21"/>
                <w:szCs w:val="21"/>
                <w:highlight w:val="none"/>
                <w:lang w:eastAsia="zh-CN"/>
              </w:rPr>
              <w:t>，</w:t>
            </w:r>
            <w:r>
              <w:rPr>
                <w:rFonts w:hint="default"/>
                <w:color w:val="auto"/>
                <w:sz w:val="21"/>
                <w:szCs w:val="21"/>
                <w:highlight w:val="none"/>
              </w:rPr>
              <w:t>为人民群众安居乐业，保护耕地，发展农村经济。本项目的建设不破坏生物资源多样性、生态群落的完整性，对区域自然景观和植被影响较小，</w:t>
            </w:r>
            <w:r>
              <w:rPr>
                <w:rFonts w:hint="eastAsia"/>
                <w:color w:val="auto"/>
                <w:sz w:val="21"/>
                <w:szCs w:val="21"/>
                <w:highlight w:val="none"/>
                <w:lang w:val="en-US" w:eastAsia="zh-CN"/>
              </w:rPr>
              <w:t>本项目已取得</w:t>
            </w:r>
            <w:r>
              <w:rPr>
                <w:rFonts w:hint="default"/>
                <w:color w:val="auto"/>
                <w:sz w:val="21"/>
                <w:szCs w:val="21"/>
                <w:highlight w:val="none"/>
              </w:rPr>
              <w:t>黑龙江饶河东北黑蜂国家级自然保护区</w:t>
            </w:r>
            <w:r>
              <w:rPr>
                <w:rFonts w:hint="eastAsia"/>
                <w:color w:val="auto"/>
                <w:sz w:val="21"/>
                <w:szCs w:val="21"/>
                <w:highlight w:val="none"/>
                <w:lang w:val="en-US" w:eastAsia="zh-CN"/>
              </w:rPr>
              <w:t>管理局</w:t>
            </w:r>
            <w:r>
              <w:rPr>
                <w:rFonts w:hint="default"/>
                <w:color w:val="auto"/>
                <w:sz w:val="21"/>
                <w:szCs w:val="21"/>
                <w:highlight w:val="none"/>
              </w:rPr>
              <w:t>关于《饶河县水务局关于实施黑龙江省饶河县大带河治理工程(补充)(EPC)的函》的复函</w:t>
            </w:r>
            <w:r>
              <w:rPr>
                <w:rFonts w:hint="eastAsia"/>
                <w:color w:val="auto"/>
                <w:sz w:val="21"/>
                <w:szCs w:val="21"/>
                <w:highlight w:val="none"/>
                <w:lang w:eastAsia="zh-CN"/>
              </w:rPr>
              <w:t>（</w:t>
            </w:r>
            <w:r>
              <w:rPr>
                <w:rFonts w:hint="eastAsia"/>
                <w:color w:val="auto"/>
                <w:sz w:val="21"/>
                <w:szCs w:val="21"/>
                <w:highlight w:val="none"/>
                <w:lang w:val="en-US" w:eastAsia="zh-CN"/>
              </w:rPr>
              <w:t>附件4</w:t>
            </w:r>
            <w:r>
              <w:rPr>
                <w:rFonts w:hint="eastAsia"/>
                <w:color w:val="auto"/>
                <w:sz w:val="21"/>
                <w:szCs w:val="21"/>
                <w:highlight w:val="none"/>
                <w:lang w:eastAsia="zh-CN"/>
              </w:rPr>
              <w:t>），</w:t>
            </w:r>
            <w:r>
              <w:rPr>
                <w:rFonts w:hint="default"/>
                <w:color w:val="auto"/>
                <w:sz w:val="21"/>
                <w:szCs w:val="21"/>
                <w:highlight w:val="none"/>
              </w:rPr>
              <w:t>本项目的建设符合《黑龙江饶河东北黑蜂国家级自然保护区总体规划》要求。</w:t>
            </w:r>
          </w:p>
        </w:tc>
      </w:tr>
      <w:tr w14:paraId="2ECC5C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35" w:hRule="atLeast"/>
        </w:trPr>
        <w:tc>
          <w:tcPr>
            <w:tcW w:w="864" w:type="pct"/>
            <w:tcMar>
              <w:top w:w="16" w:type="dxa"/>
              <w:left w:w="16" w:type="dxa"/>
              <w:right w:w="16" w:type="dxa"/>
            </w:tcMar>
            <w:vAlign w:val="center"/>
          </w:tcPr>
          <w:p w14:paraId="0835A97D">
            <w:pPr>
              <w:autoSpaceDE w:val="0"/>
              <w:autoSpaceDN w:val="0"/>
              <w:adjustRightInd w:val="0"/>
              <w:snapToGrid w:val="0"/>
              <w:jc w:val="center"/>
              <w:rPr>
                <w:color w:val="auto"/>
                <w:kern w:val="0"/>
                <w:szCs w:val="21"/>
                <w:highlight w:val="none"/>
              </w:rPr>
            </w:pPr>
            <w:bookmarkStart w:id="3" w:name="_Hlk56690880"/>
            <w:r>
              <w:rPr>
                <w:color w:val="auto"/>
                <w:kern w:val="0"/>
                <w:szCs w:val="21"/>
                <w:highlight w:val="none"/>
              </w:rPr>
              <w:t>其他符合性分析</w:t>
            </w:r>
          </w:p>
        </w:tc>
        <w:tc>
          <w:tcPr>
            <w:tcW w:w="4135" w:type="pct"/>
            <w:gridSpan w:val="3"/>
            <w:tcMar>
              <w:top w:w="16" w:type="dxa"/>
              <w:left w:w="16" w:type="dxa"/>
              <w:right w:w="16" w:type="dxa"/>
            </w:tcMar>
            <w:vAlign w:val="center"/>
          </w:tcPr>
          <w:p w14:paraId="7CDC6E98">
            <w:pPr>
              <w:pStyle w:val="56"/>
              <w:ind w:firstLine="420"/>
              <w:rPr>
                <w:b/>
                <w:bCs/>
                <w:color w:val="auto"/>
                <w:highlight w:val="none"/>
              </w:rPr>
            </w:pPr>
            <w:r>
              <w:rPr>
                <w:rFonts w:hint="eastAsia"/>
                <w:b/>
                <w:bCs/>
                <w:color w:val="auto"/>
                <w:highlight w:val="none"/>
              </w:rPr>
              <w:t>一、产业政策符合性分析</w:t>
            </w:r>
          </w:p>
          <w:p w14:paraId="4788881A">
            <w:pPr>
              <w:pStyle w:val="56"/>
              <w:ind w:firstLine="420"/>
              <w:rPr>
                <w:color w:val="auto"/>
                <w:highlight w:val="none"/>
              </w:rPr>
            </w:pPr>
            <w:r>
              <w:rPr>
                <w:rFonts w:hint="eastAsia"/>
                <w:color w:val="auto"/>
                <w:highlight w:val="none"/>
              </w:rPr>
              <w:t>本项目为防洪除涝工程，根据国家发展和改革委员会颁布实施的《产业结构调整指导目录（2024年本）》，本项目属于鼓励类第二项水利，第3条“防洪提升工程”，符合国家及地方相关产业政策。</w:t>
            </w:r>
          </w:p>
          <w:p w14:paraId="523EC28F">
            <w:pPr>
              <w:pStyle w:val="56"/>
              <w:ind w:firstLine="420"/>
              <w:rPr>
                <w:b/>
                <w:bCs/>
                <w:color w:val="auto"/>
                <w:highlight w:val="none"/>
              </w:rPr>
            </w:pPr>
            <w:r>
              <w:rPr>
                <w:rFonts w:hint="eastAsia"/>
                <w:b/>
                <w:bCs/>
                <w:color w:val="auto"/>
                <w:highlight w:val="none"/>
              </w:rPr>
              <w:t>二、</w:t>
            </w:r>
            <w:r>
              <w:rPr>
                <w:rFonts w:hint="eastAsia"/>
                <w:b/>
                <w:bCs/>
                <w:color w:val="auto"/>
                <w:highlight w:val="none"/>
                <w:lang w:val="en-US" w:eastAsia="zh-CN"/>
              </w:rPr>
              <w:t>生态环境分区管控</w:t>
            </w:r>
            <w:r>
              <w:rPr>
                <w:rFonts w:hint="eastAsia"/>
                <w:b/>
                <w:bCs/>
                <w:color w:val="auto"/>
                <w:highlight w:val="none"/>
              </w:rPr>
              <w:t>符合性分析</w:t>
            </w:r>
          </w:p>
          <w:p w14:paraId="35411C86">
            <w:pPr>
              <w:pStyle w:val="56"/>
              <w:ind w:firstLine="420"/>
              <w:rPr>
                <w:rFonts w:hint="eastAsia"/>
                <w:color w:val="FF0000"/>
                <w:highlight w:val="none"/>
              </w:rPr>
            </w:pPr>
            <w:r>
              <w:rPr>
                <w:rFonts w:hint="eastAsia"/>
                <w:color w:val="auto"/>
                <w:highlight w:val="none"/>
                <w:lang w:val="en-US" w:eastAsia="zh-CN"/>
              </w:rPr>
              <w:t>根据</w:t>
            </w:r>
            <w:r>
              <w:rPr>
                <w:rFonts w:hint="eastAsia"/>
                <w:color w:val="auto"/>
                <w:highlight w:val="none"/>
              </w:rPr>
              <w:t>《</w:t>
            </w:r>
            <w:r>
              <w:rPr>
                <w:rFonts w:hint="eastAsia"/>
                <w:color w:val="auto"/>
                <w:highlight w:val="none"/>
                <w:lang w:eastAsia="zh-CN"/>
              </w:rPr>
              <w:t>双鸭山</w:t>
            </w:r>
            <w:r>
              <w:rPr>
                <w:rFonts w:hint="eastAsia"/>
                <w:color w:val="auto"/>
                <w:highlight w:val="none"/>
              </w:rPr>
              <w:t>市人民政府关于实施“三线一单”生态环境分区管控的意见》（</w:t>
            </w:r>
            <w:r>
              <w:rPr>
                <w:rFonts w:hint="eastAsia"/>
                <w:color w:val="auto"/>
                <w:highlight w:val="none"/>
                <w:lang w:eastAsia="zh-CN"/>
              </w:rPr>
              <w:t>双</w:t>
            </w:r>
            <w:r>
              <w:rPr>
                <w:rFonts w:hint="eastAsia"/>
                <w:color w:val="auto"/>
                <w:highlight w:val="none"/>
              </w:rPr>
              <w:t>政</w:t>
            </w:r>
            <w:r>
              <w:rPr>
                <w:rFonts w:hint="eastAsia"/>
                <w:color w:val="auto"/>
                <w:highlight w:val="none"/>
                <w:lang w:eastAsia="zh-CN"/>
              </w:rPr>
              <w:t>规</w:t>
            </w:r>
            <w:r>
              <w:rPr>
                <w:rFonts w:hint="eastAsia"/>
                <w:color w:val="auto"/>
                <w:highlight w:val="none"/>
              </w:rPr>
              <w:t>[2021]</w:t>
            </w:r>
            <w:r>
              <w:rPr>
                <w:rFonts w:hint="eastAsia"/>
                <w:color w:val="auto"/>
                <w:highlight w:val="none"/>
                <w:lang w:val="en-US" w:eastAsia="zh-CN"/>
              </w:rPr>
              <w:t>2</w:t>
            </w:r>
            <w:r>
              <w:rPr>
                <w:rFonts w:hint="eastAsia"/>
                <w:color w:val="auto"/>
                <w:highlight w:val="none"/>
              </w:rPr>
              <w:t>号）</w:t>
            </w:r>
            <w:r>
              <w:rPr>
                <w:rFonts w:hint="eastAsia"/>
                <w:color w:val="auto"/>
                <w:highlight w:val="none"/>
                <w:lang w:val="en-US" w:eastAsia="zh-CN"/>
              </w:rPr>
              <w:t>、生态环境分区管控分析报告</w:t>
            </w:r>
            <w:r>
              <w:rPr>
                <w:rFonts w:hint="eastAsia"/>
                <w:color w:val="auto"/>
                <w:highlight w:val="none"/>
              </w:rPr>
              <w:t>，本项目与分区管控要求符合性分析</w:t>
            </w:r>
            <w:r>
              <w:rPr>
                <w:rFonts w:hint="eastAsia"/>
                <w:color w:val="auto"/>
                <w:highlight w:val="none"/>
                <w:lang w:val="en-US" w:eastAsia="zh-CN"/>
              </w:rPr>
              <w:t>如下：</w:t>
            </w:r>
          </w:p>
          <w:p w14:paraId="3D837906">
            <w:pPr>
              <w:pStyle w:val="56"/>
              <w:ind w:firstLine="420"/>
              <w:rPr>
                <w:color w:val="auto"/>
                <w:highlight w:val="none"/>
              </w:rPr>
            </w:pPr>
            <w:r>
              <w:rPr>
                <w:rFonts w:hint="eastAsia"/>
                <w:color w:val="auto"/>
                <w:highlight w:val="none"/>
              </w:rPr>
              <w:t>1、生态保护红线</w:t>
            </w:r>
          </w:p>
          <w:p w14:paraId="735496DE">
            <w:pPr>
              <w:pStyle w:val="56"/>
              <w:ind w:firstLine="420"/>
              <w:rPr>
                <w:rFonts w:hint="default" w:eastAsia="宋体"/>
                <w:color w:val="FF0000"/>
                <w:highlight w:val="none"/>
                <w:lang w:val="en-US" w:eastAsia="zh-CN"/>
              </w:rPr>
            </w:pPr>
            <w:r>
              <w:rPr>
                <w:rFonts w:hint="eastAsia"/>
                <w:color w:val="auto"/>
                <w:highlight w:val="none"/>
              </w:rPr>
              <w:t>本项目建设地点位于</w:t>
            </w:r>
            <w:r>
              <w:rPr>
                <w:rFonts w:hint="eastAsia"/>
                <w:color w:val="auto"/>
                <w:szCs w:val="21"/>
                <w:highlight w:val="none"/>
                <w:lang w:eastAsia="zh-CN"/>
              </w:rPr>
              <w:t>黑龙江省双鸭山市饶河县大带河</w:t>
            </w:r>
            <w:r>
              <w:rPr>
                <w:rFonts w:hint="eastAsia"/>
                <w:color w:val="auto"/>
                <w:highlight w:val="none"/>
              </w:rPr>
              <w:t>，根据附件1生态环境分区管控分析报告，</w:t>
            </w:r>
            <w:r>
              <w:rPr>
                <w:rFonts w:hint="eastAsia"/>
                <w:color w:val="auto"/>
                <w:highlight w:val="none"/>
                <w:lang w:val="en-US" w:eastAsia="zh-CN"/>
              </w:rPr>
              <w:t>本工程位于饶河县三江平原生物多样性维护功能生态保护红线-水源涵养生态功能重要区，</w:t>
            </w:r>
            <w:r>
              <w:rPr>
                <w:rFonts w:hint="default" w:eastAsia="宋体"/>
                <w:color w:val="auto"/>
                <w:highlight w:val="none"/>
                <w:lang w:val="en-US" w:eastAsia="zh-CN"/>
              </w:rPr>
              <w:t>根据《关于在国土空间规划中统筹划定落实三条控制线的指导意见》及《自然资源部 生态环境部 国家林业和草原局关于加强生态保护红线管理的通知（试行）》（自然资发〔2022〕142号），规范管控对生态功能不造成破坏的有限人为活动，生态保护红线是国土空间规划中的重要管控边界，生态保护红线内自然保护地核心保护区外，禁止开发性、生产性建设活动，在符合法律法规的前提下，仅允许对生态功能不造成破坏的有限人为活动，其中必须且无法避让、符合县级以上国土空间规划的线性基础设施、通讯和防洪、供水设施建设和船舶航行、航道疏浚清淤等活动。本工程占用生态保护红线不属于自然保护地核心保护区，属于必须且无法避让、符合县级以上国土空间规划的线性基础设施建设、防洪和供水设施建设。工程占用</w:t>
            </w:r>
            <w:r>
              <w:rPr>
                <w:rFonts w:hint="eastAsia"/>
                <w:color w:val="auto"/>
                <w:highlight w:val="none"/>
                <w:lang w:val="en-US" w:eastAsia="zh-CN"/>
              </w:rPr>
              <w:t>饶河县</w:t>
            </w:r>
            <w:r>
              <w:rPr>
                <w:rFonts w:hint="default" w:eastAsia="宋体"/>
                <w:color w:val="auto"/>
                <w:highlight w:val="none"/>
                <w:lang w:val="en-US" w:eastAsia="zh-CN"/>
              </w:rPr>
              <w:t>生态保护红线总面积比量极小且仅施工期对环境有影响，不会对生态保护红线的水源涵养功能产生影响。</w:t>
            </w:r>
          </w:p>
          <w:p w14:paraId="5A6D11AD">
            <w:pPr>
              <w:pStyle w:val="56"/>
              <w:keepNext w:val="0"/>
              <w:keepLines w:val="0"/>
              <w:pageBreakBefore w:val="0"/>
              <w:widowControl w:val="0"/>
              <w:kinsoku/>
              <w:wordWrap/>
              <w:overflowPunct/>
              <w:topLinePunct w:val="0"/>
              <w:autoSpaceDE/>
              <w:autoSpaceDN/>
              <w:bidi w:val="0"/>
              <w:adjustRightInd/>
              <w:snapToGrid/>
              <w:ind w:firstLine="420"/>
              <w:textAlignment w:val="auto"/>
              <w:rPr>
                <w:color w:val="auto"/>
                <w:highlight w:val="none"/>
              </w:rPr>
            </w:pPr>
            <w:r>
              <w:rPr>
                <w:rFonts w:hint="eastAsia"/>
                <w:color w:val="auto"/>
                <w:highlight w:val="none"/>
              </w:rPr>
              <w:t>2、环境质量底线</w:t>
            </w:r>
          </w:p>
          <w:p w14:paraId="177BE98D">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lang w:val="en-US" w:eastAsia="zh-CN"/>
              </w:rPr>
            </w:pPr>
            <w:r>
              <w:rPr>
                <w:rFonts w:hint="eastAsia"/>
                <w:color w:val="auto"/>
                <w:highlight w:val="none"/>
                <w:lang w:val="en-US" w:eastAsia="zh-CN"/>
              </w:rPr>
              <w:t>本工程涉及大气环境一般管控区、水环境优先保护区、水环境一般管控区、地下水一般管控区。本项目与环境质量底线分区管控要求符合性分析详见表1-2。</w:t>
            </w:r>
          </w:p>
          <w:p w14:paraId="064EC640">
            <w:pPr>
              <w:keepNext w:val="0"/>
              <w:keepLines w:val="0"/>
              <w:pageBreakBefore w:val="0"/>
              <w:kinsoku/>
              <w:wordWrap/>
              <w:overflowPunct/>
              <w:topLinePunct w:val="0"/>
              <w:bidi w:val="0"/>
              <w:adjustRightInd/>
              <w:spacing w:line="240" w:lineRule="auto"/>
              <w:ind w:left="0" w:leftChars="0" w:right="0"/>
              <w:jc w:val="center"/>
              <w:textAlignment w:val="auto"/>
              <w:rPr>
                <w:rFonts w:hint="default"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表1-2 环境质量底线分区管控要求符合性分析</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0"/>
              <w:gridCol w:w="3533"/>
              <w:gridCol w:w="2215"/>
            </w:tblGrid>
            <w:tr w14:paraId="2514C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gridSpan w:val="3"/>
                  <w:noWrap w:val="0"/>
                  <w:vAlign w:val="center"/>
                </w:tcPr>
                <w:p w14:paraId="027D146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lang w:val="en-US" w:eastAsia="zh-CN"/>
                    </w:rPr>
                    <w:t>一</w:t>
                  </w:r>
                  <w:r>
                    <w:rPr>
                      <w:rFonts w:hint="eastAsia" w:hAnsi="宋体" w:cs="宋体"/>
                      <w:b w:val="0"/>
                      <w:bCs w:val="0"/>
                      <w:color w:val="auto"/>
                      <w:sz w:val="18"/>
                      <w:szCs w:val="18"/>
                      <w:highlight w:val="none"/>
                    </w:rPr>
                    <w:t>、环境质量底线</w:t>
                  </w:r>
                </w:p>
              </w:tc>
            </w:tr>
            <w:tr w14:paraId="10193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gridSpan w:val="3"/>
                  <w:noWrap w:val="0"/>
                  <w:vAlign w:val="center"/>
                </w:tcPr>
                <w:p w14:paraId="1CCA2E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大气环境</w:t>
                  </w:r>
                </w:p>
              </w:tc>
            </w:tr>
            <w:tr w14:paraId="7D0E5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1056" w:type="pct"/>
                  <w:noWrap w:val="0"/>
                  <w:vAlign w:val="center"/>
                </w:tcPr>
                <w:p w14:paraId="0BB539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管控单元类别</w:t>
                  </w:r>
                </w:p>
              </w:tc>
              <w:tc>
                <w:tcPr>
                  <w:tcW w:w="3943" w:type="pct"/>
                  <w:gridSpan w:val="2"/>
                  <w:noWrap w:val="0"/>
                  <w:vAlign w:val="center"/>
                </w:tcPr>
                <w:p w14:paraId="29FA08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default"/>
                      <w:b w:val="0"/>
                      <w:bCs w:val="0"/>
                      <w:color w:val="auto"/>
                      <w:sz w:val="18"/>
                      <w:szCs w:val="18"/>
                      <w:highlight w:val="none"/>
                    </w:rPr>
                    <w:t>大气环境</w:t>
                  </w:r>
                  <w:r>
                    <w:rPr>
                      <w:rFonts w:hint="default"/>
                      <w:b w:val="0"/>
                      <w:bCs w:val="0"/>
                      <w:color w:val="auto"/>
                      <w:sz w:val="18"/>
                      <w:szCs w:val="18"/>
                      <w:highlight w:val="none"/>
                      <w:lang w:val="en-US" w:eastAsia="zh-CN"/>
                    </w:rPr>
                    <w:t>一般</w:t>
                  </w:r>
                  <w:r>
                    <w:rPr>
                      <w:rFonts w:hint="default"/>
                      <w:b w:val="0"/>
                      <w:bCs w:val="0"/>
                      <w:color w:val="auto"/>
                      <w:sz w:val="18"/>
                      <w:szCs w:val="18"/>
                      <w:highlight w:val="none"/>
                    </w:rPr>
                    <w:t>管控区</w:t>
                  </w:r>
                </w:p>
              </w:tc>
            </w:tr>
            <w:tr w14:paraId="622F9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3480" w:type="pct"/>
                  <w:gridSpan w:val="2"/>
                  <w:noWrap w:val="0"/>
                  <w:vAlign w:val="center"/>
                </w:tcPr>
                <w:p w14:paraId="70A770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管控要求</w:t>
                  </w:r>
                </w:p>
              </w:tc>
              <w:tc>
                <w:tcPr>
                  <w:tcW w:w="1519" w:type="pct"/>
                  <w:noWrap w:val="0"/>
                  <w:vAlign w:val="center"/>
                </w:tcPr>
                <w:p w14:paraId="1DBD99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符合性分析</w:t>
                  </w:r>
                </w:p>
              </w:tc>
            </w:tr>
            <w:tr w14:paraId="437A7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056" w:type="pct"/>
                  <w:noWrap w:val="0"/>
                  <w:vAlign w:val="center"/>
                </w:tcPr>
                <w:p w14:paraId="1D3287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空间布局约束</w:t>
                  </w:r>
                </w:p>
              </w:tc>
              <w:tc>
                <w:tcPr>
                  <w:tcW w:w="2423" w:type="pct"/>
                  <w:noWrap w:val="0"/>
                  <w:vAlign w:val="center"/>
                </w:tcPr>
                <w:p w14:paraId="1F8D019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left"/>
                    <w:rPr>
                      <w:rFonts w:hint="default"/>
                      <w:b w:val="0"/>
                      <w:bCs w:val="0"/>
                      <w:color w:val="auto"/>
                      <w:sz w:val="18"/>
                      <w:szCs w:val="18"/>
                      <w:highlight w:val="none"/>
                    </w:rPr>
                  </w:pPr>
                  <w:r>
                    <w:rPr>
                      <w:rFonts w:hint="default"/>
                      <w:b w:val="0"/>
                      <w:bCs w:val="0"/>
                      <w:color w:val="auto"/>
                      <w:sz w:val="18"/>
                      <w:szCs w:val="18"/>
                      <w:highlight w:val="none"/>
                      <w:lang w:val="en-US"/>
                    </w:rPr>
                    <w:t>1.</w:t>
                  </w:r>
                  <w:r>
                    <w:rPr>
                      <w:rFonts w:hint="default"/>
                      <w:b w:val="0"/>
                      <w:bCs w:val="0"/>
                      <w:color w:val="auto"/>
                      <w:sz w:val="18"/>
                      <w:szCs w:val="18"/>
                      <w:highlight w:val="none"/>
                      <w:lang w:val="zh-CN"/>
                    </w:rPr>
                    <w:t>引导工业项目向开发区集中，促进产业集聚、资源集约、绿色发展。</w:t>
                  </w:r>
                </w:p>
                <w:p w14:paraId="158671B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left"/>
                    <w:rPr>
                      <w:rFonts w:hint="default"/>
                      <w:b w:val="0"/>
                      <w:bCs w:val="0"/>
                      <w:color w:val="auto"/>
                      <w:sz w:val="18"/>
                      <w:szCs w:val="18"/>
                      <w:highlight w:val="none"/>
                    </w:rPr>
                  </w:pPr>
                  <w:r>
                    <w:rPr>
                      <w:rFonts w:hint="default"/>
                      <w:b w:val="0"/>
                      <w:bCs w:val="0"/>
                      <w:color w:val="auto"/>
                      <w:sz w:val="18"/>
                      <w:szCs w:val="18"/>
                      <w:highlight w:val="none"/>
                      <w:lang w:val="en-US" w:eastAsia="zh-CN"/>
                    </w:rPr>
                    <w:t>2.</w:t>
                  </w:r>
                  <w:r>
                    <w:rPr>
                      <w:rFonts w:hint="default"/>
                      <w:b w:val="0"/>
                      <w:bCs w:val="0"/>
                      <w:color w:val="auto"/>
                      <w:sz w:val="18"/>
                      <w:szCs w:val="18"/>
                      <w:highlight w:val="none"/>
                      <w:lang w:val="zh-CN"/>
                    </w:rPr>
                    <w:t>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519" w:type="pct"/>
                  <w:noWrap w:val="0"/>
                  <w:vAlign w:val="center"/>
                </w:tcPr>
                <w:p w14:paraId="494A83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val="0"/>
                      <w:color w:val="auto"/>
                      <w:sz w:val="18"/>
                      <w:szCs w:val="18"/>
                      <w:highlight w:val="none"/>
                    </w:rPr>
                  </w:pPr>
                  <w:r>
                    <w:rPr>
                      <w:rFonts w:hint="eastAsia"/>
                      <w:b w:val="0"/>
                      <w:bCs w:val="0"/>
                      <w:color w:val="auto"/>
                      <w:sz w:val="18"/>
                      <w:szCs w:val="18"/>
                      <w:highlight w:val="none"/>
                    </w:rPr>
                    <w:t>本项目不涉及空间布局约束中的行业类别。</w:t>
                  </w:r>
                </w:p>
              </w:tc>
            </w:tr>
            <w:tr w14:paraId="08C7E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gridSpan w:val="3"/>
                  <w:noWrap w:val="0"/>
                  <w:vAlign w:val="center"/>
                </w:tcPr>
                <w:p w14:paraId="24C52D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水环境</w:t>
                  </w:r>
                </w:p>
              </w:tc>
            </w:tr>
            <w:tr w14:paraId="13044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trPr>
              <w:tc>
                <w:tcPr>
                  <w:tcW w:w="1056" w:type="pct"/>
                  <w:noWrap w:val="0"/>
                  <w:vAlign w:val="center"/>
                </w:tcPr>
                <w:p w14:paraId="604112C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管控单元类别</w:t>
                  </w:r>
                </w:p>
              </w:tc>
              <w:tc>
                <w:tcPr>
                  <w:tcW w:w="3943" w:type="pct"/>
                  <w:gridSpan w:val="2"/>
                  <w:noWrap w:val="0"/>
                  <w:vAlign w:val="center"/>
                </w:tcPr>
                <w:p w14:paraId="0EDB3C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lang w:val="en-US" w:eastAsia="zh-CN"/>
                    </w:rPr>
                    <w:t>水环境优先保护区、</w:t>
                  </w:r>
                  <w:r>
                    <w:rPr>
                      <w:rFonts w:hint="eastAsia" w:hAnsi="宋体" w:cs="宋体"/>
                      <w:b w:val="0"/>
                      <w:bCs w:val="0"/>
                      <w:color w:val="auto"/>
                      <w:sz w:val="18"/>
                      <w:szCs w:val="18"/>
                      <w:highlight w:val="none"/>
                    </w:rPr>
                    <w:t>水环境一般管控区</w:t>
                  </w:r>
                </w:p>
              </w:tc>
            </w:tr>
            <w:tr w14:paraId="0E319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3480" w:type="pct"/>
                  <w:gridSpan w:val="2"/>
                  <w:noWrap w:val="0"/>
                  <w:vAlign w:val="center"/>
                </w:tcPr>
                <w:p w14:paraId="6FE9FE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管控要求</w:t>
                  </w:r>
                </w:p>
              </w:tc>
              <w:tc>
                <w:tcPr>
                  <w:tcW w:w="1519" w:type="pct"/>
                  <w:noWrap w:val="0"/>
                  <w:vAlign w:val="center"/>
                </w:tcPr>
                <w:p w14:paraId="56F2E1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val="0"/>
                      <w:color w:val="auto"/>
                      <w:sz w:val="18"/>
                      <w:szCs w:val="18"/>
                      <w:highlight w:val="none"/>
                    </w:rPr>
                  </w:pPr>
                  <w:r>
                    <w:rPr>
                      <w:rFonts w:hint="eastAsia" w:hAnsi="宋体" w:cs="宋体"/>
                      <w:b w:val="0"/>
                      <w:bCs w:val="0"/>
                      <w:color w:val="auto"/>
                      <w:sz w:val="18"/>
                      <w:szCs w:val="18"/>
                      <w:highlight w:val="none"/>
                    </w:rPr>
                    <w:t>符合性分析</w:t>
                  </w:r>
                </w:p>
              </w:tc>
            </w:tr>
            <w:tr w14:paraId="7A853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56" w:type="pct"/>
                  <w:noWrap w:val="0"/>
                  <w:vAlign w:val="center"/>
                </w:tcPr>
                <w:p w14:paraId="3D6FF4DF">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eastAsia" w:hAnsi="宋体" w:cs="宋体"/>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空间布局约束</w:t>
                  </w:r>
                </w:p>
              </w:tc>
              <w:tc>
                <w:tcPr>
                  <w:tcW w:w="2423" w:type="pct"/>
                  <w:noWrap w:val="0"/>
                  <w:vAlign w:val="center"/>
                </w:tcPr>
                <w:p w14:paraId="3F6EAA44">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黑龙江饶河乌苏里江国家湿地公园同时执行下列准入要求。</w:t>
                  </w:r>
                </w:p>
                <w:p w14:paraId="245A78FD">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禁止开发建设活动要求:</w:t>
                  </w:r>
                </w:p>
                <w:p w14:paraId="27854295">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1.禁止擅自征收、占用国家湿地公园的土地。</w:t>
                  </w:r>
                </w:p>
                <w:p w14:paraId="03BF96EC">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2.除国家另有规定外，国家湿地公园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w:t>
                  </w:r>
                </w:p>
                <w:p w14:paraId="60F70E93">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3.禁止扩大耕地面积，并逐步实行退耕还湿、还林、还草。</w:t>
                  </w:r>
                </w:p>
                <w:p w14:paraId="6D34C990">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4.除法律、法规另有规定外，在湿地内禁止从事下列活动：开垦、挖沟、筑坝、堆山；填埋、倾倒垃圾和有毒有害物体，排放生活污水、工业废水；排放或者抽采湿地水资源；砍伐林木、采挖泥炭、勘探（国家公益性勘探除外）、采矿、挖砂、取土；破坏鱼类等水生生物洄游通道和野生动物的繁殖区及其栖息地；猎捕保护的野生动物、捡拾鸟卵或者采用灭绝性方式捕捞鱼类以及其他水生生物；引进外来物种或者放生动物；破坏湿地保护设施或者监测设备；其他破坏湿地及其生态功能的行为。</w:t>
                  </w:r>
                </w:p>
                <w:p w14:paraId="7F8417DD">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5.任何单位和个人不得擅自征用、占用湿地或者改变湿地用途。</w:t>
                  </w:r>
                </w:p>
                <w:p w14:paraId="4F1C7EAA">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限制开发建设活动要求:</w:t>
                  </w:r>
                </w:p>
                <w:p w14:paraId="575C6D91">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建设项目应当不占或者少占湿地，经批准确需征收、占用湿地并转为其他用途的，用地单位应当按照“先补后占、占补平衡”的原则，依法办理相关手续。临时占用湿地的，期限不得超过2年；临时占用期限届满，占用单位应当对所占湿地限期进行生态修复。</w:t>
                  </w:r>
                </w:p>
                <w:p w14:paraId="71145EAD">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eastAsia"/>
                      <w:b w:val="0"/>
                      <w:bCs w:val="0"/>
                      <w:color w:val="auto"/>
                      <w:sz w:val="18"/>
                      <w:szCs w:val="18"/>
                      <w:highlight w:val="none"/>
                    </w:rPr>
                  </w:pPr>
                  <w:r>
                    <w:rPr>
                      <w:rFonts w:hint="default" w:ascii="Times New Roman" w:hAnsi="Times New Roman" w:eastAsia="宋体" w:cs="Times New Roman"/>
                      <w:b w:val="0"/>
                      <w:bCs w:val="0"/>
                      <w:color w:val="auto"/>
                      <w:kern w:val="0"/>
                      <w:sz w:val="18"/>
                      <w:szCs w:val="18"/>
                      <w:highlight w:val="none"/>
                      <w:lang w:val="en-US" w:eastAsia="zh-CN" w:bidi="ar"/>
                    </w:rPr>
                    <w:t>严格依法管控，严禁不符合主体功能定位的各类开发活动。加快市域内各城镇污水处理厂的建设。严格依法管控畜禽养殖企业，提高规模化养殖占比，优化种植业结构，坚持适区种植。坚持市场需求导向</w:t>
                  </w:r>
                  <w:r>
                    <w:rPr>
                      <w:rFonts w:hint="eastAsia" w:ascii="Times New Roman" w:hAnsi="Times New Roman" w:cs="Times New Roman"/>
                      <w:b w:val="0"/>
                      <w:bCs w:val="0"/>
                      <w:color w:val="auto"/>
                      <w:kern w:val="0"/>
                      <w:sz w:val="18"/>
                      <w:szCs w:val="18"/>
                      <w:highlight w:val="none"/>
                      <w:lang w:val="en-US" w:eastAsia="zh-CN" w:bidi="ar"/>
                    </w:rPr>
                    <w:t>。</w:t>
                  </w:r>
                </w:p>
              </w:tc>
              <w:tc>
                <w:tcPr>
                  <w:tcW w:w="1519" w:type="pct"/>
                  <w:noWrap w:val="0"/>
                  <w:vAlign w:val="center"/>
                </w:tcPr>
                <w:p w14:paraId="166625D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textAlignment w:val="baseline"/>
                    <w:rPr>
                      <w:rFonts w:hint="eastAsia" w:eastAsia="宋体"/>
                      <w:b w:val="0"/>
                      <w:bCs w:val="0"/>
                      <w:color w:val="auto"/>
                      <w:sz w:val="18"/>
                      <w:szCs w:val="18"/>
                      <w:highlight w:val="none"/>
                      <w:lang w:val="en-US" w:eastAsia="zh-CN"/>
                    </w:rPr>
                  </w:pPr>
                  <w:r>
                    <w:rPr>
                      <w:rFonts w:hint="eastAsia"/>
                      <w:b w:val="0"/>
                      <w:bCs w:val="0"/>
                      <w:color w:val="auto"/>
                      <w:sz w:val="18"/>
                      <w:szCs w:val="18"/>
                      <w:highlight w:val="none"/>
                      <w:lang w:val="en-US"/>
                    </w:rPr>
                    <w:t>本项目</w:t>
                  </w:r>
                  <w:r>
                    <w:rPr>
                      <w:rFonts w:hint="eastAsia"/>
                      <w:b w:val="0"/>
                      <w:bCs w:val="0"/>
                      <w:color w:val="auto"/>
                      <w:sz w:val="18"/>
                      <w:szCs w:val="18"/>
                      <w:highlight w:val="none"/>
                      <w:lang w:val="en-US" w:eastAsia="zh-CN"/>
                    </w:rPr>
                    <w:t>不属于黑龙江乌苏里江国家湿地公园</w:t>
                  </w:r>
                  <w:r>
                    <w:rPr>
                      <w:rFonts w:hint="eastAsia"/>
                      <w:b w:val="0"/>
                      <w:bCs w:val="0"/>
                      <w:color w:val="auto"/>
                      <w:sz w:val="18"/>
                      <w:szCs w:val="18"/>
                      <w:highlight w:val="none"/>
                    </w:rPr>
                    <w:t>禁止开发建设活动、</w:t>
                  </w:r>
                  <w:r>
                    <w:rPr>
                      <w:rFonts w:hint="eastAsia"/>
                      <w:b w:val="0"/>
                      <w:bCs w:val="0"/>
                      <w:color w:val="auto"/>
                      <w:sz w:val="18"/>
                      <w:szCs w:val="18"/>
                      <w:highlight w:val="none"/>
                      <w:lang w:val="zh-CN"/>
                    </w:rPr>
                    <w:t>限制开发建设活动要求</w:t>
                  </w:r>
                  <w:r>
                    <w:rPr>
                      <w:rFonts w:hint="eastAsia"/>
                      <w:b w:val="0"/>
                      <w:bCs w:val="0"/>
                      <w:color w:val="auto"/>
                      <w:sz w:val="18"/>
                      <w:szCs w:val="18"/>
                      <w:highlight w:val="none"/>
                      <w:lang w:eastAsia="zh-CN"/>
                    </w:rPr>
                    <w:t>。</w:t>
                  </w:r>
                  <w:r>
                    <w:rPr>
                      <w:rFonts w:hint="eastAsia"/>
                      <w:b w:val="0"/>
                      <w:bCs w:val="0"/>
                      <w:color w:val="auto"/>
                      <w:sz w:val="18"/>
                      <w:szCs w:val="18"/>
                      <w:highlight w:val="none"/>
                      <w:lang w:val="en-US" w:eastAsia="zh-CN"/>
                    </w:rPr>
                    <w:t>工程永久征地为原堤防工程范围内，不涉及新增永久占地。工程无新增新建临时道路，不新增其他临时占地。符合</w:t>
                  </w:r>
                  <w:r>
                    <w:rPr>
                      <w:rFonts w:hint="eastAsia" w:hAnsi="宋体" w:cs="宋体"/>
                      <w:b w:val="0"/>
                      <w:bCs w:val="0"/>
                      <w:color w:val="auto"/>
                      <w:sz w:val="18"/>
                      <w:szCs w:val="18"/>
                      <w:highlight w:val="none"/>
                      <w:lang w:val="en-US" w:eastAsia="zh-CN"/>
                    </w:rPr>
                    <w:t>水环境优先保护区、</w:t>
                  </w:r>
                  <w:r>
                    <w:rPr>
                      <w:rFonts w:hint="eastAsia" w:hAnsi="宋体" w:cs="宋体"/>
                      <w:b w:val="0"/>
                      <w:bCs w:val="0"/>
                      <w:color w:val="auto"/>
                      <w:sz w:val="18"/>
                      <w:szCs w:val="18"/>
                      <w:highlight w:val="none"/>
                    </w:rPr>
                    <w:t>水环境一般管控区</w:t>
                  </w:r>
                  <w:r>
                    <w:rPr>
                      <w:rFonts w:hint="default" w:ascii="Times New Roman" w:hAnsi="Times New Roman" w:eastAsia="宋体" w:cs="Times New Roman"/>
                      <w:b w:val="0"/>
                      <w:bCs w:val="0"/>
                      <w:color w:val="auto"/>
                      <w:sz w:val="18"/>
                      <w:szCs w:val="18"/>
                      <w:highlight w:val="none"/>
                    </w:rPr>
                    <w:t>空间布局约束</w:t>
                  </w:r>
                  <w:r>
                    <w:rPr>
                      <w:rFonts w:hint="eastAsia" w:cs="Times New Roman"/>
                      <w:b w:val="0"/>
                      <w:bCs w:val="0"/>
                      <w:color w:val="auto"/>
                      <w:sz w:val="18"/>
                      <w:szCs w:val="18"/>
                      <w:highlight w:val="none"/>
                      <w:lang w:val="en-US" w:eastAsia="zh-CN"/>
                    </w:rPr>
                    <w:t>要求。</w:t>
                  </w:r>
                </w:p>
              </w:tc>
            </w:tr>
            <w:tr w14:paraId="3F89C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3"/>
                  <w:noWrap w:val="0"/>
                  <w:vAlign w:val="center"/>
                </w:tcPr>
                <w:p w14:paraId="2D951CA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FF0000"/>
                      <w:sz w:val="18"/>
                      <w:szCs w:val="18"/>
                      <w:highlight w:val="none"/>
                      <w:lang w:val="en-US" w:eastAsia="zh-CN"/>
                    </w:rPr>
                  </w:pPr>
                  <w:r>
                    <w:rPr>
                      <w:rFonts w:hint="eastAsia" w:ascii="Times New Roman" w:hAnsi="Times New Roman" w:cs="Times New Roman"/>
                      <w:b w:val="0"/>
                      <w:bCs w:val="0"/>
                      <w:color w:val="auto"/>
                      <w:sz w:val="18"/>
                      <w:szCs w:val="18"/>
                      <w:highlight w:val="none"/>
                      <w:lang w:val="en-US" w:eastAsia="zh-CN"/>
                    </w:rPr>
                    <w:t>地下水环境</w:t>
                  </w:r>
                </w:p>
              </w:tc>
            </w:tr>
            <w:tr w14:paraId="2948B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56" w:type="pct"/>
                  <w:noWrap w:val="0"/>
                  <w:vAlign w:val="center"/>
                </w:tcPr>
                <w:p w14:paraId="0F091E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val="0"/>
                      <w:bCs w:val="0"/>
                      <w:color w:val="FF0000"/>
                      <w:sz w:val="18"/>
                      <w:szCs w:val="18"/>
                      <w:highlight w:val="none"/>
                    </w:rPr>
                  </w:pPr>
                  <w:r>
                    <w:rPr>
                      <w:rFonts w:hint="eastAsia" w:hAnsi="宋体" w:cs="宋体"/>
                      <w:b w:val="0"/>
                      <w:bCs w:val="0"/>
                      <w:color w:val="auto"/>
                      <w:sz w:val="18"/>
                      <w:szCs w:val="18"/>
                      <w:highlight w:val="none"/>
                    </w:rPr>
                    <w:t>管控单元类别</w:t>
                  </w:r>
                </w:p>
              </w:tc>
              <w:tc>
                <w:tcPr>
                  <w:tcW w:w="3943" w:type="pct"/>
                  <w:gridSpan w:val="2"/>
                  <w:noWrap w:val="0"/>
                  <w:vAlign w:val="center"/>
                </w:tcPr>
                <w:p w14:paraId="0D88B42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b w:val="0"/>
                      <w:bCs w:val="0"/>
                      <w:color w:val="FF0000"/>
                      <w:sz w:val="18"/>
                      <w:szCs w:val="18"/>
                      <w:highlight w:val="none"/>
                      <w:lang w:val="en-US" w:eastAsia="zh-CN"/>
                    </w:rPr>
                  </w:pPr>
                  <w:r>
                    <w:rPr>
                      <w:rFonts w:hint="eastAsia" w:hAnsi="宋体" w:cs="宋体"/>
                      <w:b w:val="0"/>
                      <w:bCs w:val="0"/>
                      <w:color w:val="auto"/>
                      <w:sz w:val="18"/>
                      <w:szCs w:val="18"/>
                      <w:highlight w:val="none"/>
                      <w:lang w:val="en-US" w:eastAsia="zh-CN"/>
                    </w:rPr>
                    <w:t>地下</w:t>
                  </w:r>
                  <w:r>
                    <w:rPr>
                      <w:rFonts w:hint="eastAsia" w:hAnsi="宋体" w:cs="宋体"/>
                      <w:b w:val="0"/>
                      <w:bCs w:val="0"/>
                      <w:color w:val="auto"/>
                      <w:sz w:val="18"/>
                      <w:szCs w:val="18"/>
                      <w:highlight w:val="none"/>
                    </w:rPr>
                    <w:t>水环境一般管控区</w:t>
                  </w:r>
                </w:p>
              </w:tc>
            </w:tr>
            <w:tr w14:paraId="2A285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56" w:type="pct"/>
                  <w:noWrap w:val="0"/>
                  <w:vAlign w:val="center"/>
                </w:tcPr>
                <w:p w14:paraId="61C2BB6C">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FF0000"/>
                      <w:sz w:val="18"/>
                      <w:szCs w:val="18"/>
                      <w:highlight w:val="none"/>
                    </w:rPr>
                  </w:pPr>
                  <w:r>
                    <w:rPr>
                      <w:rFonts w:hint="default" w:ascii="Times New Roman" w:hAnsi="Times New Roman" w:eastAsia="宋体" w:cs="Times New Roman"/>
                      <w:b w:val="0"/>
                      <w:bCs w:val="0"/>
                      <w:color w:val="auto"/>
                      <w:sz w:val="18"/>
                      <w:szCs w:val="18"/>
                      <w:highlight w:val="none"/>
                    </w:rPr>
                    <w:t>环境风险防控</w:t>
                  </w:r>
                </w:p>
              </w:tc>
              <w:tc>
                <w:tcPr>
                  <w:tcW w:w="2423" w:type="pct"/>
                  <w:noWrap w:val="0"/>
                  <w:vAlign w:val="center"/>
                </w:tcPr>
                <w:p w14:paraId="6F925972">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left"/>
                    <w:rPr>
                      <w:rFonts w:hint="default" w:ascii="Times New Roman" w:hAnsi="Times New Roman" w:eastAsia="宋体" w:cs="Times New Roman"/>
                      <w:b w:val="0"/>
                      <w:bCs w:val="0"/>
                      <w:color w:val="FF0000"/>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519" w:type="pct"/>
                  <w:noWrap w:val="0"/>
                  <w:vAlign w:val="center"/>
                </w:tcPr>
                <w:p w14:paraId="256D193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left"/>
                    <w:textAlignment w:val="baseline"/>
                    <w:rPr>
                      <w:rFonts w:hint="eastAsia" w:ascii="Times New Roman" w:hAnsi="Times New Roman" w:eastAsia="宋体" w:cs="Times New Roman"/>
                      <w:b w:val="0"/>
                      <w:bCs w:val="0"/>
                      <w:color w:val="FF0000"/>
                      <w:sz w:val="18"/>
                      <w:szCs w:val="18"/>
                      <w:highlight w:val="none"/>
                      <w:lang w:val="en-US" w:eastAsia="zh-CN"/>
                    </w:rPr>
                  </w:pPr>
                  <w:r>
                    <w:rPr>
                      <w:rFonts w:hint="default" w:ascii="Times New Roman" w:hAnsi="Times New Roman" w:eastAsia="宋体" w:cs="Times New Roman"/>
                      <w:b w:val="0"/>
                      <w:bCs w:val="0"/>
                      <w:color w:val="auto"/>
                      <w:sz w:val="18"/>
                      <w:szCs w:val="18"/>
                      <w:highlight w:val="none"/>
                    </w:rPr>
                    <w:t>本</w:t>
                  </w:r>
                  <w:r>
                    <w:rPr>
                      <w:rFonts w:hint="default" w:ascii="Times New Roman" w:hAnsi="Times New Roman" w:eastAsia="宋体" w:cs="Times New Roman"/>
                      <w:b w:val="0"/>
                      <w:bCs w:val="0"/>
                      <w:color w:val="auto"/>
                      <w:sz w:val="18"/>
                      <w:szCs w:val="18"/>
                      <w:highlight w:val="none"/>
                      <w:lang w:val="en-US" w:eastAsia="zh-CN"/>
                    </w:rPr>
                    <w:t>单位不是</w:t>
                  </w:r>
                  <w:r>
                    <w:rPr>
                      <w:rFonts w:hint="default" w:ascii="Times New Roman" w:hAnsi="Times New Roman" w:eastAsia="宋体" w:cs="Times New Roman"/>
                      <w:b w:val="0"/>
                      <w:bCs w:val="0"/>
                      <w:color w:val="auto"/>
                      <w:kern w:val="0"/>
                      <w:sz w:val="18"/>
                      <w:szCs w:val="18"/>
                      <w:highlight w:val="none"/>
                      <w:lang w:val="en-US" w:eastAsia="zh-CN" w:bidi="ar"/>
                    </w:rPr>
                    <w:t>土壤污染重点监管单位、不是化学品生产企业以及工业集聚区、矿山开采区、尾矿库、危险废物处置场、垃圾填埋场等的运营、管理单位，符合要求</w:t>
                  </w:r>
                  <w:r>
                    <w:rPr>
                      <w:rFonts w:hint="eastAsia" w:ascii="Times New Roman" w:hAnsi="Times New Roman" w:cs="Times New Roman"/>
                      <w:b w:val="0"/>
                      <w:bCs w:val="0"/>
                      <w:color w:val="auto"/>
                      <w:kern w:val="0"/>
                      <w:sz w:val="18"/>
                      <w:szCs w:val="18"/>
                      <w:highlight w:val="none"/>
                      <w:lang w:val="en-US" w:eastAsia="zh-CN" w:bidi="ar"/>
                    </w:rPr>
                    <w:t>。</w:t>
                  </w:r>
                </w:p>
              </w:tc>
            </w:tr>
          </w:tbl>
          <w:p w14:paraId="245A376A">
            <w:pPr>
              <w:pStyle w:val="56"/>
              <w:ind w:firstLine="420"/>
              <w:rPr>
                <w:color w:val="auto"/>
                <w:highlight w:val="none"/>
              </w:rPr>
            </w:pPr>
          </w:p>
          <w:p w14:paraId="0D3F1FD0">
            <w:pPr>
              <w:pStyle w:val="56"/>
              <w:ind w:firstLine="420"/>
              <w:rPr>
                <w:color w:val="auto"/>
                <w:highlight w:val="none"/>
              </w:rPr>
            </w:pPr>
          </w:p>
          <w:p w14:paraId="2492979E">
            <w:pPr>
              <w:pStyle w:val="56"/>
              <w:ind w:firstLine="420"/>
              <w:rPr>
                <w:color w:val="auto"/>
                <w:highlight w:val="none"/>
              </w:rPr>
            </w:pPr>
          </w:p>
          <w:p w14:paraId="7F2DA884">
            <w:pPr>
              <w:pStyle w:val="56"/>
              <w:ind w:firstLine="420"/>
              <w:rPr>
                <w:color w:val="auto"/>
                <w:highlight w:val="none"/>
              </w:rPr>
            </w:pPr>
            <w:r>
              <w:rPr>
                <w:color w:val="auto"/>
                <w:highlight w:val="none"/>
              </w:rPr>
              <w:t>3、资源利用上线</w:t>
            </w:r>
          </w:p>
          <w:p w14:paraId="02D2A3A0">
            <w:pPr>
              <w:keepNext w:val="0"/>
              <w:keepLines w:val="0"/>
              <w:pageBreakBefore w:val="0"/>
              <w:kinsoku/>
              <w:wordWrap/>
              <w:overflowPunct/>
              <w:topLinePunct w:val="0"/>
              <w:bidi w:val="0"/>
              <w:adjustRightInd/>
              <w:spacing w:line="240" w:lineRule="auto"/>
              <w:ind w:left="0" w:leftChars="0" w:right="0"/>
              <w:jc w:val="center"/>
              <w:textAlignment w:val="auto"/>
              <w:rPr>
                <w:rFonts w:hint="eastAsia"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表1-3 资源利用上线分区管控要求符合性分析</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4"/>
              <w:gridCol w:w="4452"/>
              <w:gridCol w:w="1882"/>
            </w:tblGrid>
            <w:tr w14:paraId="03721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noWrap w:val="0"/>
                  <w:vAlign w:val="center"/>
                </w:tcPr>
                <w:p w14:paraId="7F60806F">
                  <w:pPr>
                    <w:keepNext w:val="0"/>
                    <w:keepLines w:val="0"/>
                    <w:pageBreakBefore w:val="0"/>
                    <w:kinsoku/>
                    <w:wordWrap/>
                    <w:overflowPunct/>
                    <w:topLinePunct w:val="0"/>
                    <w:bidi w:val="0"/>
                    <w:adjustRightInd/>
                    <w:ind w:left="0" w:leftChars="0" w:right="0"/>
                    <w:jc w:val="center"/>
                    <w:textAlignment w:val="auto"/>
                    <w:rPr>
                      <w:i w:val="0"/>
                      <w:iCs w:val="0"/>
                      <w:color w:val="auto"/>
                      <w:sz w:val="18"/>
                      <w:szCs w:val="18"/>
                      <w:highlight w:val="none"/>
                      <w:u w:val="none"/>
                      <w:lang w:bidi="ar"/>
                    </w:rPr>
                  </w:pPr>
                  <w:r>
                    <w:rPr>
                      <w:i w:val="0"/>
                      <w:iCs w:val="0"/>
                      <w:color w:val="auto"/>
                      <w:sz w:val="18"/>
                      <w:szCs w:val="18"/>
                      <w:highlight w:val="none"/>
                      <w:u w:val="none"/>
                    </w:rPr>
                    <w:t>管控单元类别</w:t>
                  </w:r>
                </w:p>
              </w:tc>
              <w:tc>
                <w:tcPr>
                  <w:tcW w:w="3053" w:type="pct"/>
                  <w:noWrap w:val="0"/>
                  <w:vAlign w:val="center"/>
                </w:tcPr>
                <w:p w14:paraId="70AD3375">
                  <w:pPr>
                    <w:keepNext w:val="0"/>
                    <w:keepLines w:val="0"/>
                    <w:pageBreakBefore w:val="0"/>
                    <w:kinsoku/>
                    <w:wordWrap/>
                    <w:overflowPunct/>
                    <w:topLinePunct w:val="0"/>
                    <w:bidi w:val="0"/>
                    <w:adjustRightInd/>
                    <w:ind w:left="0" w:leftChars="0" w:right="0"/>
                    <w:jc w:val="center"/>
                    <w:textAlignment w:val="auto"/>
                    <w:rPr>
                      <w:i w:val="0"/>
                      <w:iCs w:val="0"/>
                      <w:color w:val="auto"/>
                      <w:sz w:val="18"/>
                      <w:szCs w:val="18"/>
                      <w:highlight w:val="none"/>
                      <w:u w:val="none"/>
                      <w:lang w:bidi="ar"/>
                    </w:rPr>
                  </w:pPr>
                  <w:r>
                    <w:rPr>
                      <w:i w:val="0"/>
                      <w:iCs w:val="0"/>
                      <w:color w:val="auto"/>
                      <w:sz w:val="18"/>
                      <w:szCs w:val="18"/>
                      <w:highlight w:val="none"/>
                      <w:u w:val="none"/>
                    </w:rPr>
                    <w:t>管控要求</w:t>
                  </w:r>
                </w:p>
              </w:tc>
              <w:tc>
                <w:tcPr>
                  <w:tcW w:w="1290" w:type="pct"/>
                  <w:noWrap w:val="0"/>
                  <w:vAlign w:val="center"/>
                </w:tcPr>
                <w:p w14:paraId="553381A3">
                  <w:pPr>
                    <w:keepNext w:val="0"/>
                    <w:keepLines w:val="0"/>
                    <w:pageBreakBefore w:val="0"/>
                    <w:kinsoku/>
                    <w:wordWrap/>
                    <w:overflowPunct/>
                    <w:topLinePunct w:val="0"/>
                    <w:bidi w:val="0"/>
                    <w:adjustRightInd/>
                    <w:ind w:left="0" w:leftChars="0" w:right="0"/>
                    <w:jc w:val="center"/>
                    <w:textAlignment w:val="auto"/>
                    <w:rPr>
                      <w:i w:val="0"/>
                      <w:iCs w:val="0"/>
                      <w:color w:val="auto"/>
                      <w:sz w:val="18"/>
                      <w:szCs w:val="18"/>
                      <w:highlight w:val="none"/>
                      <w:u w:val="none"/>
                      <w:lang w:bidi="ar"/>
                    </w:rPr>
                  </w:pPr>
                  <w:r>
                    <w:rPr>
                      <w:i w:val="0"/>
                      <w:iCs w:val="0"/>
                      <w:color w:val="auto"/>
                      <w:sz w:val="18"/>
                      <w:szCs w:val="18"/>
                      <w:highlight w:val="none"/>
                      <w:u w:val="none"/>
                    </w:rPr>
                    <w:t>符合性分析</w:t>
                  </w:r>
                </w:p>
              </w:tc>
            </w:tr>
            <w:tr w14:paraId="14A84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noWrap w:val="0"/>
                  <w:vAlign w:val="center"/>
                </w:tcPr>
                <w:p w14:paraId="6B5F3906">
                  <w:pPr>
                    <w:keepNext w:val="0"/>
                    <w:keepLines w:val="0"/>
                    <w:pageBreakBefore w:val="0"/>
                    <w:kinsoku/>
                    <w:wordWrap/>
                    <w:overflowPunct/>
                    <w:topLinePunct w:val="0"/>
                    <w:bidi w:val="0"/>
                    <w:adjustRightInd/>
                    <w:ind w:left="0" w:leftChars="0" w:right="0"/>
                    <w:textAlignment w:val="auto"/>
                    <w:rPr>
                      <w:i w:val="0"/>
                      <w:iCs w:val="0"/>
                      <w:color w:val="auto"/>
                      <w:sz w:val="18"/>
                      <w:szCs w:val="18"/>
                      <w:highlight w:val="none"/>
                      <w:u w:val="none"/>
                      <w:lang w:bidi="ar"/>
                    </w:rPr>
                  </w:pPr>
                  <w:r>
                    <w:rPr>
                      <w:i w:val="0"/>
                      <w:iCs w:val="0"/>
                      <w:color w:val="auto"/>
                      <w:sz w:val="18"/>
                      <w:szCs w:val="18"/>
                      <w:highlight w:val="none"/>
                      <w:u w:val="none"/>
                    </w:rPr>
                    <w:t>水资源（</w:t>
                  </w:r>
                  <w:r>
                    <w:rPr>
                      <w:rFonts w:hint="eastAsia"/>
                      <w:i w:val="0"/>
                      <w:iCs w:val="0"/>
                      <w:color w:val="auto"/>
                      <w:sz w:val="18"/>
                      <w:szCs w:val="18"/>
                      <w:highlight w:val="none"/>
                      <w:u w:val="none"/>
                    </w:rPr>
                    <w:t>一般</w:t>
                  </w:r>
                  <w:r>
                    <w:rPr>
                      <w:i w:val="0"/>
                      <w:iCs w:val="0"/>
                      <w:color w:val="auto"/>
                      <w:sz w:val="18"/>
                      <w:szCs w:val="18"/>
                      <w:highlight w:val="none"/>
                      <w:u w:val="none"/>
                    </w:rPr>
                    <w:t>管控区）</w:t>
                  </w:r>
                </w:p>
              </w:tc>
              <w:tc>
                <w:tcPr>
                  <w:tcW w:w="3053" w:type="pct"/>
                  <w:noWrap w:val="0"/>
                  <w:vAlign w:val="center"/>
                </w:tcPr>
                <w:p w14:paraId="489EBBA3">
                  <w:pPr>
                    <w:keepNext w:val="0"/>
                    <w:keepLines w:val="0"/>
                    <w:pageBreakBefore w:val="0"/>
                    <w:kinsoku/>
                    <w:wordWrap/>
                    <w:overflowPunct/>
                    <w:topLinePunct w:val="0"/>
                    <w:bidi w:val="0"/>
                    <w:adjustRightInd/>
                    <w:ind w:left="0" w:leftChars="0" w:right="0"/>
                    <w:textAlignment w:val="auto"/>
                    <w:rPr>
                      <w:i w:val="0"/>
                      <w:iCs w:val="0"/>
                      <w:color w:val="auto"/>
                      <w:sz w:val="18"/>
                      <w:szCs w:val="18"/>
                      <w:highlight w:val="none"/>
                      <w:u w:val="none"/>
                      <w:lang w:bidi="ar"/>
                    </w:rPr>
                  </w:pPr>
                  <w:r>
                    <w:rPr>
                      <w:rFonts w:hint="eastAsia"/>
                      <w:i w:val="0"/>
                      <w:iCs w:val="0"/>
                      <w:color w:val="auto"/>
                      <w:sz w:val="18"/>
                      <w:szCs w:val="18"/>
                      <w:highlight w:val="none"/>
                      <w:u w:val="none"/>
                    </w:rPr>
                    <w:t>（1）严格控制水资源消耗总量和强度，加快完成江河流域水量分配、生态流量保障实施方案工作，推进水权确权。（2）积极推进节水型社会达标建设，限制高耗水工业项目建设和高耗水服务业发展，遏制农业粗放用水，强化用水定额管理，加大农业节水力度，加大工业节水技术改造。（3）各级水行政主管部门要按照确定的地下水水位控制指标，加强水位动态监控。（4）建立用水单位重点监控名录，实施计划用水管理。（5）建立健全规划和建设项目水资源论证制度，完善规划水资源论证相关政策措施。市县重点推进重大产业布局和各类开发区规划水资源论证，严格建设项目水资源论证，对未依法完成水资源论证工作的建设项目，建设单位不得擅自开工建设和投产使用。</w:t>
                  </w:r>
                </w:p>
              </w:tc>
              <w:tc>
                <w:tcPr>
                  <w:tcW w:w="1290" w:type="pct"/>
                  <w:noWrap w:val="0"/>
                  <w:vAlign w:val="center"/>
                </w:tcPr>
                <w:p w14:paraId="2D012285">
                  <w:pPr>
                    <w:keepNext w:val="0"/>
                    <w:keepLines w:val="0"/>
                    <w:pageBreakBefore w:val="0"/>
                    <w:kinsoku/>
                    <w:wordWrap/>
                    <w:overflowPunct/>
                    <w:topLinePunct w:val="0"/>
                    <w:bidi w:val="0"/>
                    <w:adjustRightInd/>
                    <w:ind w:left="0" w:leftChars="0" w:right="0"/>
                    <w:textAlignment w:val="auto"/>
                    <w:rPr>
                      <w:rFonts w:hint="eastAsia"/>
                      <w:i w:val="0"/>
                      <w:iCs w:val="0"/>
                      <w:color w:val="auto"/>
                      <w:sz w:val="18"/>
                      <w:szCs w:val="18"/>
                      <w:highlight w:val="none"/>
                      <w:u w:val="none"/>
                      <w:lang w:bidi="ar"/>
                    </w:rPr>
                  </w:pPr>
                  <w:r>
                    <w:rPr>
                      <w:rFonts w:hint="eastAsia"/>
                      <w:color w:val="auto"/>
                      <w:sz w:val="18"/>
                      <w:szCs w:val="18"/>
                      <w:highlight w:val="none"/>
                      <w:lang w:val="en-US" w:eastAsia="zh-CN"/>
                    </w:rPr>
                    <w:t>施工供水主要包括生活用水、生产用水。生活用水可充分利用沿线村屯内的自来水，生产用水为洒水降尘用水，可直接利用河水，用水量较少。本项目建设不会对区域水资源产生不利影响，满足水资源利用上线要求。</w:t>
                  </w:r>
                </w:p>
              </w:tc>
            </w:tr>
            <w:tr w14:paraId="4DD0C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6" w:hRule="atLeast"/>
              </w:trPr>
              <w:tc>
                <w:tcPr>
                  <w:tcW w:w="655" w:type="pct"/>
                  <w:noWrap w:val="0"/>
                  <w:vAlign w:val="center"/>
                </w:tcPr>
                <w:p w14:paraId="20B86768">
                  <w:pPr>
                    <w:keepNext w:val="0"/>
                    <w:keepLines w:val="0"/>
                    <w:pageBreakBefore w:val="0"/>
                    <w:kinsoku/>
                    <w:wordWrap/>
                    <w:overflowPunct/>
                    <w:topLinePunct w:val="0"/>
                    <w:bidi w:val="0"/>
                    <w:adjustRightInd/>
                    <w:ind w:left="0" w:leftChars="0" w:right="0"/>
                    <w:textAlignment w:val="auto"/>
                    <w:rPr>
                      <w:i w:val="0"/>
                      <w:iCs w:val="0"/>
                      <w:color w:val="auto"/>
                      <w:sz w:val="18"/>
                      <w:szCs w:val="18"/>
                      <w:highlight w:val="none"/>
                      <w:u w:val="none"/>
                      <w:lang w:bidi="ar"/>
                    </w:rPr>
                  </w:pPr>
                  <w:r>
                    <w:rPr>
                      <w:i w:val="0"/>
                      <w:iCs w:val="0"/>
                      <w:color w:val="auto"/>
                      <w:sz w:val="18"/>
                      <w:szCs w:val="18"/>
                      <w:highlight w:val="none"/>
                      <w:u w:val="none"/>
                    </w:rPr>
                    <w:t>土地资源（</w:t>
                  </w:r>
                  <w:r>
                    <w:rPr>
                      <w:rFonts w:hint="eastAsia"/>
                      <w:i w:val="0"/>
                      <w:iCs w:val="0"/>
                      <w:color w:val="auto"/>
                      <w:sz w:val="18"/>
                      <w:szCs w:val="18"/>
                      <w:highlight w:val="none"/>
                      <w:u w:val="none"/>
                      <w:lang w:val="en-US" w:eastAsia="zh-CN"/>
                    </w:rPr>
                    <w:t>生态</w:t>
                  </w:r>
                  <w:r>
                    <w:rPr>
                      <w:i w:val="0"/>
                      <w:iCs w:val="0"/>
                      <w:color w:val="auto"/>
                      <w:sz w:val="18"/>
                      <w:szCs w:val="18"/>
                      <w:highlight w:val="none"/>
                      <w:u w:val="none"/>
                    </w:rPr>
                    <w:t>保护红线集中区）</w:t>
                  </w:r>
                </w:p>
              </w:tc>
              <w:tc>
                <w:tcPr>
                  <w:tcW w:w="3053" w:type="pct"/>
                  <w:noWrap w:val="0"/>
                  <w:vAlign w:val="center"/>
                </w:tcPr>
                <w:p w14:paraId="48373987">
                  <w:pPr>
                    <w:keepNext w:val="0"/>
                    <w:keepLines w:val="0"/>
                    <w:pageBreakBefore w:val="0"/>
                    <w:kinsoku/>
                    <w:wordWrap/>
                    <w:overflowPunct/>
                    <w:topLinePunct w:val="0"/>
                    <w:bidi w:val="0"/>
                    <w:adjustRightInd/>
                    <w:ind w:left="0" w:leftChars="0" w:right="0"/>
                    <w:textAlignment w:val="auto"/>
                    <w:rPr>
                      <w:i w:val="0"/>
                      <w:iCs w:val="0"/>
                      <w:color w:val="auto"/>
                      <w:sz w:val="18"/>
                      <w:szCs w:val="18"/>
                      <w:highlight w:val="none"/>
                      <w:u w:val="none"/>
                      <w:lang w:bidi="ar"/>
                    </w:rPr>
                  </w:pPr>
                  <w:r>
                    <w:rPr>
                      <w:color w:val="auto"/>
                      <w:sz w:val="18"/>
                      <w:szCs w:val="18"/>
                      <w:highlight w:val="none"/>
                    </w:rPr>
                    <w:t>生态保护红线，依据相关法律法规和相关规划实施强制性保护，确保生态功能不降低、面积不减少、性质不改变。生态保护红线内，自然保护地核心保护区原则上禁止人为活动，其他区域严格禁止开发性、生产性建设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1290" w:type="pct"/>
                  <w:noWrap w:val="0"/>
                  <w:vAlign w:val="center"/>
                </w:tcPr>
                <w:p w14:paraId="59E665D8">
                  <w:pPr>
                    <w:keepNext w:val="0"/>
                    <w:keepLines w:val="0"/>
                    <w:pageBreakBefore w:val="0"/>
                    <w:kinsoku/>
                    <w:wordWrap/>
                    <w:overflowPunct/>
                    <w:topLinePunct w:val="0"/>
                    <w:bidi w:val="0"/>
                    <w:adjustRightInd/>
                    <w:ind w:left="0" w:leftChars="0" w:right="0"/>
                    <w:textAlignment w:val="auto"/>
                    <w:rPr>
                      <w:i w:val="0"/>
                      <w:iCs w:val="0"/>
                      <w:color w:val="FF0000"/>
                      <w:sz w:val="18"/>
                      <w:szCs w:val="18"/>
                      <w:highlight w:val="none"/>
                      <w:u w:val="none"/>
                      <w:lang w:bidi="ar"/>
                    </w:rPr>
                  </w:pPr>
                  <w:r>
                    <w:rPr>
                      <w:rFonts w:hint="eastAsia"/>
                      <w:color w:val="auto"/>
                      <w:sz w:val="18"/>
                      <w:szCs w:val="18"/>
                      <w:highlight w:val="none"/>
                    </w:rPr>
                    <w:t>本项目为</w:t>
                  </w:r>
                  <w:r>
                    <w:rPr>
                      <w:rFonts w:hint="eastAsia"/>
                      <w:color w:val="auto"/>
                      <w:sz w:val="18"/>
                      <w:szCs w:val="18"/>
                      <w:highlight w:val="none"/>
                      <w:lang w:val="en-US" w:eastAsia="zh-CN"/>
                    </w:rPr>
                    <w:t>恢复堤防原有断面形成，新建堤防护坡工程</w:t>
                  </w:r>
                  <w:r>
                    <w:rPr>
                      <w:rFonts w:hint="eastAsia"/>
                      <w:color w:val="auto"/>
                      <w:sz w:val="18"/>
                      <w:szCs w:val="18"/>
                      <w:highlight w:val="none"/>
                    </w:rPr>
                    <w:t>，</w:t>
                  </w:r>
                  <w:r>
                    <w:rPr>
                      <w:rFonts w:hint="eastAsia"/>
                      <w:color w:val="auto"/>
                      <w:sz w:val="18"/>
                      <w:szCs w:val="18"/>
                      <w:highlight w:val="none"/>
                      <w:lang w:val="en-US" w:eastAsia="zh-CN"/>
                    </w:rPr>
                    <w:t>属</w:t>
                  </w:r>
                  <w:r>
                    <w:rPr>
                      <w:rFonts w:hint="eastAsia"/>
                      <w:color w:val="auto"/>
                      <w:sz w:val="18"/>
                      <w:szCs w:val="18"/>
                      <w:highlight w:val="none"/>
                    </w:rPr>
                    <w:t>防洪除涝项目，本项目不新增</w:t>
                  </w:r>
                  <w:r>
                    <w:rPr>
                      <w:rFonts w:hint="eastAsia"/>
                      <w:color w:val="auto"/>
                      <w:sz w:val="18"/>
                      <w:szCs w:val="18"/>
                      <w:highlight w:val="none"/>
                      <w:lang w:eastAsia="zh-CN"/>
                    </w:rPr>
                    <w:t>永久</w:t>
                  </w:r>
                  <w:r>
                    <w:rPr>
                      <w:rFonts w:hint="eastAsia"/>
                      <w:color w:val="auto"/>
                      <w:sz w:val="18"/>
                      <w:szCs w:val="18"/>
                      <w:highlight w:val="none"/>
                    </w:rPr>
                    <w:t>占地</w:t>
                  </w:r>
                  <w:r>
                    <w:rPr>
                      <w:rFonts w:hint="eastAsia"/>
                      <w:color w:val="auto"/>
                      <w:sz w:val="18"/>
                      <w:szCs w:val="18"/>
                      <w:highlight w:val="none"/>
                      <w:lang w:val="en-US" w:eastAsia="zh-CN"/>
                    </w:rPr>
                    <w:t>及临时占地。且属防洪设施建设，符合土地资源生态保护红线集中区管控要求。</w:t>
                  </w:r>
                </w:p>
              </w:tc>
            </w:tr>
            <w:tr w14:paraId="4D107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noWrap w:val="0"/>
                  <w:vAlign w:val="center"/>
                </w:tcPr>
                <w:p w14:paraId="5601BEB1">
                  <w:pPr>
                    <w:keepNext w:val="0"/>
                    <w:keepLines w:val="0"/>
                    <w:pageBreakBefore w:val="0"/>
                    <w:kinsoku/>
                    <w:wordWrap/>
                    <w:overflowPunct/>
                    <w:topLinePunct w:val="0"/>
                    <w:bidi w:val="0"/>
                    <w:adjustRightInd/>
                    <w:ind w:left="0" w:leftChars="0" w:right="0"/>
                    <w:textAlignment w:val="auto"/>
                    <w:rPr>
                      <w:i w:val="0"/>
                      <w:iCs w:val="0"/>
                      <w:color w:val="auto"/>
                      <w:sz w:val="18"/>
                      <w:szCs w:val="18"/>
                      <w:highlight w:val="none"/>
                      <w:u w:val="none"/>
                      <w:lang w:bidi="ar"/>
                    </w:rPr>
                  </w:pPr>
                  <w:r>
                    <w:rPr>
                      <w:i w:val="0"/>
                      <w:iCs w:val="0"/>
                      <w:color w:val="auto"/>
                      <w:sz w:val="18"/>
                      <w:szCs w:val="18"/>
                      <w:highlight w:val="none"/>
                      <w:u w:val="none"/>
                    </w:rPr>
                    <w:t>能源利用上线</w:t>
                  </w:r>
                </w:p>
              </w:tc>
              <w:tc>
                <w:tcPr>
                  <w:tcW w:w="3053" w:type="pct"/>
                  <w:noWrap w:val="0"/>
                  <w:vAlign w:val="center"/>
                </w:tcPr>
                <w:p w14:paraId="05392E11">
                  <w:pPr>
                    <w:keepNext w:val="0"/>
                    <w:keepLines w:val="0"/>
                    <w:pageBreakBefore w:val="0"/>
                    <w:kinsoku/>
                    <w:wordWrap/>
                    <w:overflowPunct/>
                    <w:topLinePunct w:val="0"/>
                    <w:bidi w:val="0"/>
                    <w:adjustRightInd/>
                    <w:ind w:left="0" w:leftChars="0" w:right="0"/>
                    <w:textAlignment w:val="auto"/>
                    <w:rPr>
                      <w:i w:val="0"/>
                      <w:iCs w:val="0"/>
                      <w:color w:val="auto"/>
                      <w:sz w:val="18"/>
                      <w:szCs w:val="18"/>
                      <w:highlight w:val="none"/>
                      <w:u w:val="none"/>
                    </w:rPr>
                  </w:pPr>
                  <w:r>
                    <w:rPr>
                      <w:i w:val="0"/>
                      <w:iCs w:val="0"/>
                      <w:color w:val="auto"/>
                      <w:sz w:val="18"/>
                      <w:szCs w:val="18"/>
                      <w:highlight w:val="none"/>
                      <w:u w:val="none"/>
                    </w:rPr>
                    <w:t>（1）夯实能源共赢基础（2）引到能源绿色低碳利用（3）推动能源技术创新（4）加强对俄能源合作</w:t>
                  </w:r>
                </w:p>
              </w:tc>
              <w:tc>
                <w:tcPr>
                  <w:tcW w:w="1290" w:type="pct"/>
                  <w:noWrap w:val="0"/>
                  <w:vAlign w:val="center"/>
                </w:tcPr>
                <w:p w14:paraId="7C0C23B8">
                  <w:pPr>
                    <w:keepNext w:val="0"/>
                    <w:keepLines w:val="0"/>
                    <w:pageBreakBefore w:val="0"/>
                    <w:kinsoku/>
                    <w:wordWrap/>
                    <w:overflowPunct/>
                    <w:topLinePunct w:val="0"/>
                    <w:bidi w:val="0"/>
                    <w:adjustRightInd/>
                    <w:ind w:left="0" w:leftChars="0" w:right="0"/>
                    <w:textAlignment w:val="auto"/>
                    <w:rPr>
                      <w:i w:val="0"/>
                      <w:iCs w:val="0"/>
                      <w:color w:val="FF0000"/>
                      <w:sz w:val="18"/>
                      <w:szCs w:val="18"/>
                      <w:highlight w:val="none"/>
                      <w:u w:val="none"/>
                      <w:lang w:bidi="ar"/>
                    </w:rPr>
                  </w:pPr>
                  <w:r>
                    <w:rPr>
                      <w:rFonts w:hint="eastAsia"/>
                      <w:color w:val="auto"/>
                      <w:sz w:val="18"/>
                      <w:szCs w:val="18"/>
                      <w:highlight w:val="none"/>
                      <w:lang w:val="en-US" w:eastAsia="zh-CN"/>
                    </w:rPr>
                    <w:t>本项目属</w:t>
                  </w:r>
                  <w:r>
                    <w:rPr>
                      <w:rFonts w:hint="eastAsia"/>
                      <w:color w:val="auto"/>
                      <w:sz w:val="18"/>
                      <w:szCs w:val="18"/>
                      <w:highlight w:val="none"/>
                    </w:rPr>
                    <w:t>防洪除涝项目，</w:t>
                  </w:r>
                  <w:r>
                    <w:rPr>
                      <w:i w:val="0"/>
                      <w:iCs w:val="0"/>
                      <w:color w:val="auto"/>
                      <w:sz w:val="18"/>
                      <w:szCs w:val="18"/>
                      <w:highlight w:val="none"/>
                      <w:u w:val="none"/>
                    </w:rPr>
                    <w:t>项目资源消耗量相对区域资源总量较小，符合资源利用上限要求。</w:t>
                  </w:r>
                </w:p>
              </w:tc>
            </w:tr>
          </w:tbl>
          <w:p w14:paraId="081D25D7">
            <w:pPr>
              <w:pStyle w:val="56"/>
              <w:ind w:firstLine="420"/>
              <w:rPr>
                <w:color w:val="auto"/>
                <w:highlight w:val="none"/>
              </w:rPr>
            </w:pPr>
            <w:r>
              <w:rPr>
                <w:color w:val="auto"/>
                <w:highlight w:val="none"/>
              </w:rPr>
              <w:t>4、</w:t>
            </w:r>
            <w:r>
              <w:rPr>
                <w:rFonts w:hint="eastAsia"/>
                <w:color w:val="auto"/>
                <w:highlight w:val="none"/>
              </w:rPr>
              <w:t>生态</w:t>
            </w:r>
            <w:r>
              <w:rPr>
                <w:color w:val="auto"/>
                <w:highlight w:val="none"/>
              </w:rPr>
              <w:t>环境准入清单</w:t>
            </w:r>
          </w:p>
          <w:p w14:paraId="69F242F9">
            <w:pPr>
              <w:pStyle w:val="56"/>
              <w:ind w:firstLine="420"/>
              <w:rPr>
                <w:rFonts w:hint="eastAsia"/>
                <w:color w:val="auto"/>
                <w:highlight w:val="none"/>
              </w:rPr>
            </w:pPr>
            <w:r>
              <w:rPr>
                <w:rFonts w:hint="eastAsia"/>
                <w:color w:val="auto"/>
                <w:highlight w:val="none"/>
              </w:rPr>
              <w:t>根据《</w:t>
            </w:r>
            <w:r>
              <w:rPr>
                <w:rFonts w:hint="eastAsia"/>
                <w:color w:val="auto"/>
                <w:highlight w:val="none"/>
                <w:lang w:eastAsia="zh-CN"/>
              </w:rPr>
              <w:t>双鸭山</w:t>
            </w:r>
            <w:r>
              <w:rPr>
                <w:rFonts w:hint="eastAsia"/>
                <w:color w:val="auto"/>
                <w:highlight w:val="none"/>
              </w:rPr>
              <w:t>市生态环境准入清单》</w:t>
            </w:r>
            <w:r>
              <w:rPr>
                <w:rFonts w:hint="eastAsia"/>
                <w:color w:val="auto"/>
                <w:highlight w:val="none"/>
                <w:lang w:eastAsia="zh-CN"/>
              </w:rPr>
              <w:t>（</w:t>
            </w:r>
            <w:r>
              <w:rPr>
                <w:rFonts w:hint="eastAsia"/>
                <w:color w:val="auto"/>
                <w:highlight w:val="none"/>
                <w:lang w:val="en-US" w:eastAsia="zh-CN"/>
              </w:rPr>
              <w:t>2023年版</w:t>
            </w:r>
            <w:r>
              <w:rPr>
                <w:rFonts w:hint="eastAsia"/>
                <w:color w:val="auto"/>
                <w:highlight w:val="none"/>
                <w:lang w:eastAsia="zh-CN"/>
              </w:rPr>
              <w:t>）</w:t>
            </w:r>
            <w:r>
              <w:rPr>
                <w:rFonts w:hint="eastAsia"/>
                <w:color w:val="auto"/>
                <w:highlight w:val="none"/>
                <w:lang w:val="en-US" w:eastAsia="zh-CN"/>
              </w:rPr>
              <w:t>及生态环境分区管控数据应用平台出具的分析报告，</w:t>
            </w:r>
            <w:r>
              <w:rPr>
                <w:rFonts w:hint="eastAsia"/>
                <w:color w:val="auto"/>
                <w:highlight w:val="none"/>
                <w:lang w:eastAsia="zh-CN"/>
              </w:rPr>
              <w:t>本项目涉及的环境管控单元管控要求及其符合性分析见</w:t>
            </w:r>
            <w:r>
              <w:rPr>
                <w:rFonts w:hint="eastAsia"/>
                <w:color w:val="auto"/>
                <w:highlight w:val="none"/>
                <w:lang w:val="en-US" w:eastAsia="zh-CN"/>
              </w:rPr>
              <w:t>表1-4</w:t>
            </w:r>
            <w:r>
              <w:rPr>
                <w:rFonts w:hint="eastAsia"/>
                <w:color w:val="auto"/>
                <w:highlight w:val="none"/>
                <w:lang w:eastAsia="zh-CN"/>
              </w:rPr>
              <w:t>，</w:t>
            </w:r>
            <w:r>
              <w:rPr>
                <w:rFonts w:hint="eastAsia"/>
                <w:color w:val="auto"/>
                <w:highlight w:val="none"/>
                <w:lang w:val="en-US" w:eastAsia="zh-CN"/>
              </w:rPr>
              <w:t>本项目与环境管控单元叠加情况见</w:t>
            </w:r>
            <w:r>
              <w:rPr>
                <w:rFonts w:hint="eastAsia"/>
                <w:color w:val="auto"/>
                <w:highlight w:val="none"/>
                <w:lang w:val="en-US" w:eastAsia="zh-CN"/>
              </w:rPr>
              <w:fldChar w:fldCharType="begin"/>
            </w:r>
            <w:r>
              <w:rPr>
                <w:rFonts w:hint="eastAsia"/>
                <w:color w:val="auto"/>
                <w:highlight w:val="none"/>
                <w:lang w:val="en-US" w:eastAsia="zh-CN"/>
              </w:rPr>
              <w:instrText xml:space="preserve"> REF _Ref28136 \h </w:instrText>
            </w:r>
            <w:r>
              <w:rPr>
                <w:rFonts w:hint="eastAsia"/>
                <w:color w:val="auto"/>
                <w:highlight w:val="none"/>
                <w:lang w:val="en-US" w:eastAsia="zh-CN"/>
              </w:rPr>
              <w:fldChar w:fldCharType="separate"/>
            </w:r>
            <w:r>
              <w:rPr>
                <w:rFonts w:hint="eastAsia"/>
                <w:color w:val="auto"/>
                <w:highlight w:val="none"/>
                <w:lang w:val="en-US" w:eastAsia="zh-CN"/>
              </w:rPr>
              <w:fldChar w:fldCharType="end"/>
            </w:r>
            <w:r>
              <w:rPr>
                <w:rFonts w:hint="eastAsia"/>
                <w:color w:val="auto"/>
                <w:highlight w:val="none"/>
                <w:lang w:val="en-US" w:eastAsia="zh-CN"/>
              </w:rPr>
              <w:t>图1-1</w:t>
            </w:r>
            <w:r>
              <w:rPr>
                <w:rFonts w:hint="eastAsia"/>
                <w:color w:val="auto"/>
                <w:highlight w:val="none"/>
                <w:lang w:eastAsia="zh-CN"/>
              </w:rPr>
              <w:t>。</w:t>
            </w:r>
          </w:p>
          <w:p w14:paraId="50E609B4">
            <w:pPr>
              <w:jc w:val="center"/>
              <w:rPr>
                <w:color w:val="auto"/>
                <w:highlight w:val="none"/>
              </w:rPr>
            </w:pPr>
            <w:r>
              <w:rPr>
                <w:highlight w:val="none"/>
              </w:rPr>
              <w:drawing>
                <wp:inline distT="0" distB="0" distL="114300" distR="114300">
                  <wp:extent cx="4698365" cy="2505075"/>
                  <wp:effectExtent l="0" t="0" r="6985"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9"/>
                          <a:stretch>
                            <a:fillRect/>
                          </a:stretch>
                        </pic:blipFill>
                        <pic:spPr>
                          <a:xfrm>
                            <a:off x="0" y="0"/>
                            <a:ext cx="4698365" cy="2505075"/>
                          </a:xfrm>
                          <a:prstGeom prst="rect">
                            <a:avLst/>
                          </a:prstGeom>
                          <a:noFill/>
                          <a:ln>
                            <a:noFill/>
                          </a:ln>
                        </pic:spPr>
                      </pic:pic>
                    </a:graphicData>
                  </a:graphic>
                </wp:inline>
              </w:drawing>
            </w:r>
          </w:p>
          <w:p w14:paraId="32423AD7">
            <w:pPr>
              <w:pStyle w:val="51"/>
              <w:keepNext w:val="0"/>
              <w:keepLines w:val="0"/>
              <w:suppressLineNumbers w:val="0"/>
              <w:spacing w:before="0" w:beforeAutospacing="0" w:after="0" w:afterAutospacing="0"/>
              <w:ind w:right="0"/>
              <w:jc w:val="center"/>
              <w:rPr>
                <w:rFonts w:hint="eastAsia" w:ascii="Times New Roman" w:hAnsi="Times New Roman" w:eastAsia="宋体" w:cs="Times New Roman"/>
                <w:b/>
                <w:bCs/>
                <w:color w:val="FF0000"/>
                <w:highlight w:val="none"/>
                <w:lang w:val="en-US" w:eastAsia="zh-CN"/>
              </w:rPr>
            </w:pPr>
            <w:r>
              <w:rPr>
                <w:highlight w:val="none"/>
              </w:rPr>
              <w:drawing>
                <wp:inline distT="0" distB="0" distL="114300" distR="114300">
                  <wp:extent cx="4621530" cy="2454275"/>
                  <wp:effectExtent l="0" t="0" r="7620" b="317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10"/>
                          <a:stretch>
                            <a:fillRect/>
                          </a:stretch>
                        </pic:blipFill>
                        <pic:spPr>
                          <a:xfrm>
                            <a:off x="0" y="0"/>
                            <a:ext cx="4621530" cy="2454275"/>
                          </a:xfrm>
                          <a:prstGeom prst="rect">
                            <a:avLst/>
                          </a:prstGeom>
                          <a:noFill/>
                          <a:ln>
                            <a:noFill/>
                          </a:ln>
                        </pic:spPr>
                      </pic:pic>
                    </a:graphicData>
                  </a:graphic>
                </wp:inline>
              </w:drawing>
            </w:r>
          </w:p>
          <w:p w14:paraId="159CBEF6">
            <w:pPr>
              <w:pStyle w:val="51"/>
              <w:keepNext w:val="0"/>
              <w:keepLines w:val="0"/>
              <w:suppressLineNumbers w:val="0"/>
              <w:spacing w:before="0" w:beforeAutospacing="0" w:after="0" w:afterAutospacing="0"/>
              <w:ind w:right="0"/>
              <w:jc w:val="center"/>
              <w:rPr>
                <w:rFonts w:hint="eastAsia" w:ascii="Times New Roman" w:hAnsi="Times New Roman" w:eastAsia="宋体" w:cs="Times New Roman"/>
                <w:b/>
                <w:bCs/>
                <w:color w:val="FF0000"/>
                <w:highlight w:val="none"/>
                <w:lang w:val="en-US" w:eastAsia="zh-CN"/>
              </w:rPr>
            </w:pPr>
            <w:r>
              <w:rPr>
                <w:highlight w:val="none"/>
              </w:rPr>
              <w:drawing>
                <wp:inline distT="0" distB="0" distL="114300" distR="114300">
                  <wp:extent cx="4624070" cy="2471420"/>
                  <wp:effectExtent l="0" t="0" r="5080" b="508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11"/>
                          <a:stretch>
                            <a:fillRect/>
                          </a:stretch>
                        </pic:blipFill>
                        <pic:spPr>
                          <a:xfrm>
                            <a:off x="0" y="0"/>
                            <a:ext cx="4624070" cy="2471420"/>
                          </a:xfrm>
                          <a:prstGeom prst="rect">
                            <a:avLst/>
                          </a:prstGeom>
                          <a:noFill/>
                          <a:ln>
                            <a:noFill/>
                          </a:ln>
                        </pic:spPr>
                      </pic:pic>
                    </a:graphicData>
                  </a:graphic>
                </wp:inline>
              </w:drawing>
            </w:r>
            <w:r>
              <w:rPr>
                <w:highlight w:val="none"/>
              </w:rPr>
              <w:drawing>
                <wp:inline distT="0" distB="0" distL="114300" distR="114300">
                  <wp:extent cx="4623435" cy="2477770"/>
                  <wp:effectExtent l="0" t="0" r="5715" b="1778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12"/>
                          <a:stretch>
                            <a:fillRect/>
                          </a:stretch>
                        </pic:blipFill>
                        <pic:spPr>
                          <a:xfrm>
                            <a:off x="0" y="0"/>
                            <a:ext cx="4623435" cy="2477770"/>
                          </a:xfrm>
                          <a:prstGeom prst="rect">
                            <a:avLst/>
                          </a:prstGeom>
                          <a:noFill/>
                          <a:ln>
                            <a:noFill/>
                          </a:ln>
                        </pic:spPr>
                      </pic:pic>
                    </a:graphicData>
                  </a:graphic>
                </wp:inline>
              </w:drawing>
            </w:r>
            <w:r>
              <w:rPr>
                <w:rFonts w:hint="eastAsia" w:ascii="Times New Roman" w:hAnsi="Times New Roman" w:eastAsia="宋体" w:cs="Times New Roman"/>
                <w:b/>
                <w:bCs/>
                <w:color w:val="auto"/>
                <w:highlight w:val="none"/>
                <w:lang w:val="en-US" w:eastAsia="zh-CN"/>
              </w:rPr>
              <w:t>图1-</w:t>
            </w:r>
            <w:r>
              <w:rPr>
                <w:rFonts w:hint="eastAsia" w:eastAsia="宋体" w:cs="Times New Roman"/>
                <w:b/>
                <w:bCs/>
                <w:color w:val="auto"/>
                <w:highlight w:val="none"/>
                <w:lang w:val="en-US" w:eastAsia="zh-CN"/>
              </w:rPr>
              <w:t>1</w:t>
            </w:r>
            <w:r>
              <w:rPr>
                <w:rFonts w:hint="eastAsia" w:ascii="Times New Roman" w:hAnsi="Times New Roman" w:eastAsia="宋体" w:cs="Times New Roman"/>
                <w:b/>
                <w:bCs/>
                <w:color w:val="auto"/>
                <w:highlight w:val="none"/>
                <w:lang w:val="en-US" w:eastAsia="zh-CN"/>
              </w:rPr>
              <w:t xml:space="preserve">  本项目与环境管控单元</w:t>
            </w:r>
            <w:r>
              <w:rPr>
                <w:rFonts w:hint="eastAsia" w:cs="Times New Roman"/>
                <w:b/>
                <w:bCs/>
                <w:color w:val="auto"/>
                <w:highlight w:val="none"/>
                <w:lang w:val="en-US" w:eastAsia="zh-CN"/>
              </w:rPr>
              <w:t>叠加图</w:t>
            </w:r>
          </w:p>
          <w:p w14:paraId="334EAC97">
            <w:pPr>
              <w:pStyle w:val="70"/>
              <w:rPr>
                <w:color w:val="auto"/>
                <w:highlight w:val="none"/>
              </w:rPr>
            </w:pPr>
            <w:r>
              <w:rPr>
                <w:rFonts w:hint="eastAsia"/>
                <w:color w:val="auto"/>
                <w:highlight w:val="none"/>
              </w:rPr>
              <w:t>表1</w:t>
            </w:r>
            <w:r>
              <w:rPr>
                <w:color w:val="auto"/>
                <w:highlight w:val="none"/>
              </w:rPr>
              <w:t>-</w:t>
            </w:r>
            <w:r>
              <w:rPr>
                <w:rFonts w:hint="eastAsia"/>
                <w:color w:val="auto"/>
                <w:highlight w:val="none"/>
                <w:lang w:val="en-US" w:eastAsia="zh-CN"/>
              </w:rPr>
              <w:t>4</w:t>
            </w:r>
            <w:r>
              <w:rPr>
                <w:color w:val="auto"/>
                <w:highlight w:val="none"/>
              </w:rPr>
              <w:t xml:space="preserve"> </w:t>
            </w:r>
            <w:r>
              <w:rPr>
                <w:rFonts w:hint="eastAsia"/>
                <w:color w:val="auto"/>
                <w:highlight w:val="none"/>
              </w:rPr>
              <w:t>生态环境准入清单符合性分析</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1093"/>
              <w:gridCol w:w="670"/>
              <w:gridCol w:w="656"/>
              <w:gridCol w:w="3804"/>
            </w:tblGrid>
            <w:tr w14:paraId="1445A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8" w:type="pct"/>
                  <w:tcBorders>
                    <w:tl2br w:val="nil"/>
                    <w:tr2bl w:val="nil"/>
                  </w:tcBorders>
                  <w:noWrap w:val="0"/>
                  <w:vAlign w:val="center"/>
                </w:tcPr>
                <w:p w14:paraId="3D7DDDB6">
                  <w:pPr>
                    <w:pStyle w:val="98"/>
                    <w:bidi w:val="0"/>
                    <w:rPr>
                      <w:rFonts w:hint="default"/>
                      <w:color w:val="auto"/>
                      <w:sz w:val="18"/>
                      <w:szCs w:val="18"/>
                      <w:highlight w:val="none"/>
                    </w:rPr>
                  </w:pPr>
                  <w:r>
                    <w:rPr>
                      <w:rFonts w:hint="default"/>
                      <w:color w:val="auto"/>
                      <w:sz w:val="18"/>
                      <w:szCs w:val="18"/>
                      <w:highlight w:val="none"/>
                    </w:rPr>
                    <w:t>环境管控单元编码</w:t>
                  </w:r>
                </w:p>
              </w:tc>
              <w:tc>
                <w:tcPr>
                  <w:tcW w:w="750" w:type="pct"/>
                  <w:tcBorders>
                    <w:tl2br w:val="nil"/>
                    <w:tr2bl w:val="nil"/>
                  </w:tcBorders>
                  <w:noWrap w:val="0"/>
                  <w:vAlign w:val="center"/>
                </w:tcPr>
                <w:p w14:paraId="08EF6936">
                  <w:pPr>
                    <w:pStyle w:val="98"/>
                    <w:bidi w:val="0"/>
                    <w:rPr>
                      <w:rFonts w:hint="default"/>
                      <w:color w:val="auto"/>
                      <w:sz w:val="18"/>
                      <w:szCs w:val="18"/>
                      <w:highlight w:val="none"/>
                    </w:rPr>
                  </w:pPr>
                  <w:r>
                    <w:rPr>
                      <w:rFonts w:hint="default"/>
                      <w:color w:val="auto"/>
                      <w:sz w:val="18"/>
                      <w:szCs w:val="18"/>
                      <w:highlight w:val="none"/>
                    </w:rPr>
                    <w:t>环境管控单元名称</w:t>
                  </w:r>
                </w:p>
              </w:tc>
              <w:tc>
                <w:tcPr>
                  <w:tcW w:w="460" w:type="pct"/>
                  <w:tcBorders>
                    <w:tl2br w:val="nil"/>
                    <w:tr2bl w:val="nil"/>
                  </w:tcBorders>
                  <w:noWrap w:val="0"/>
                  <w:vAlign w:val="center"/>
                </w:tcPr>
                <w:p w14:paraId="4D117584">
                  <w:pPr>
                    <w:pStyle w:val="98"/>
                    <w:bidi w:val="0"/>
                    <w:rPr>
                      <w:rFonts w:hint="default"/>
                      <w:color w:val="auto"/>
                      <w:sz w:val="18"/>
                      <w:szCs w:val="18"/>
                      <w:highlight w:val="none"/>
                    </w:rPr>
                  </w:pPr>
                  <w:r>
                    <w:rPr>
                      <w:rFonts w:hint="default"/>
                      <w:color w:val="auto"/>
                      <w:sz w:val="18"/>
                      <w:szCs w:val="18"/>
                      <w:highlight w:val="none"/>
                    </w:rPr>
                    <w:t>管控单元类别</w:t>
                  </w:r>
                </w:p>
              </w:tc>
              <w:tc>
                <w:tcPr>
                  <w:tcW w:w="3061" w:type="pct"/>
                  <w:gridSpan w:val="2"/>
                  <w:tcBorders>
                    <w:tl2br w:val="nil"/>
                    <w:tr2bl w:val="nil"/>
                  </w:tcBorders>
                  <w:noWrap w:val="0"/>
                  <w:vAlign w:val="center"/>
                </w:tcPr>
                <w:p w14:paraId="5F54A332">
                  <w:pPr>
                    <w:pStyle w:val="98"/>
                    <w:bidi w:val="0"/>
                    <w:rPr>
                      <w:rFonts w:hint="default"/>
                      <w:color w:val="auto"/>
                      <w:sz w:val="18"/>
                      <w:szCs w:val="18"/>
                      <w:highlight w:val="none"/>
                    </w:rPr>
                  </w:pPr>
                  <w:r>
                    <w:rPr>
                      <w:rFonts w:hint="default"/>
                      <w:color w:val="auto"/>
                      <w:sz w:val="18"/>
                      <w:szCs w:val="18"/>
                      <w:highlight w:val="none"/>
                    </w:rPr>
                    <w:t>管控要求</w:t>
                  </w:r>
                </w:p>
              </w:tc>
            </w:tr>
            <w:tr w14:paraId="117C6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center"/>
                </w:tcPr>
                <w:p w14:paraId="286AA3F3">
                  <w:pPr>
                    <w:pStyle w:val="98"/>
                    <w:bidi w:val="0"/>
                    <w:rPr>
                      <w:rFonts w:hint="default"/>
                      <w:color w:val="auto"/>
                      <w:sz w:val="18"/>
                      <w:szCs w:val="18"/>
                      <w:highlight w:val="none"/>
                    </w:rPr>
                  </w:pPr>
                  <w:r>
                    <w:rPr>
                      <w:rFonts w:hint="default"/>
                      <w:color w:val="auto"/>
                      <w:sz w:val="18"/>
                      <w:szCs w:val="18"/>
                      <w:highlight w:val="none"/>
                    </w:rPr>
                    <w:t>ZH23052410001</w:t>
                  </w:r>
                </w:p>
              </w:tc>
              <w:tc>
                <w:tcPr>
                  <w:tcW w:w="750" w:type="pct"/>
                  <w:tcBorders>
                    <w:tl2br w:val="nil"/>
                    <w:tr2bl w:val="nil"/>
                  </w:tcBorders>
                  <w:noWrap w:val="0"/>
                  <w:vAlign w:val="center"/>
                </w:tcPr>
                <w:p w14:paraId="31ADEBDA">
                  <w:pPr>
                    <w:pStyle w:val="98"/>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饶河县生态保护红线</w:t>
                  </w:r>
                </w:p>
              </w:tc>
              <w:tc>
                <w:tcPr>
                  <w:tcW w:w="460" w:type="pct"/>
                  <w:tcBorders>
                    <w:tl2br w:val="nil"/>
                    <w:tr2bl w:val="nil"/>
                  </w:tcBorders>
                  <w:noWrap w:val="0"/>
                  <w:vAlign w:val="center"/>
                </w:tcPr>
                <w:p w14:paraId="6D68A1B2">
                  <w:pPr>
                    <w:pStyle w:val="98"/>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优先保护单元</w:t>
                  </w:r>
                </w:p>
              </w:tc>
              <w:tc>
                <w:tcPr>
                  <w:tcW w:w="450" w:type="pct"/>
                  <w:tcBorders>
                    <w:tl2br w:val="nil"/>
                    <w:tr2bl w:val="nil"/>
                  </w:tcBorders>
                  <w:noWrap w:val="0"/>
                  <w:vAlign w:val="center"/>
                </w:tcPr>
                <w:p w14:paraId="6577B5C2">
                  <w:pPr>
                    <w:pStyle w:val="98"/>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空间布局约束</w:t>
                  </w:r>
                </w:p>
              </w:tc>
              <w:tc>
                <w:tcPr>
                  <w:tcW w:w="2610" w:type="pct"/>
                  <w:tcBorders>
                    <w:tl2br w:val="nil"/>
                    <w:tr2bl w:val="nil"/>
                  </w:tcBorders>
                  <w:noWrap w:val="0"/>
                  <w:vAlign w:val="center"/>
                </w:tcPr>
                <w:p w14:paraId="1CFA0147">
                  <w:pPr>
                    <w:pStyle w:val="98"/>
                    <w:bidi w:val="0"/>
                    <w:jc w:val="both"/>
                    <w:rPr>
                      <w:rFonts w:hint="default"/>
                      <w:color w:val="auto"/>
                      <w:sz w:val="18"/>
                      <w:szCs w:val="18"/>
                      <w:highlight w:val="none"/>
                    </w:rPr>
                  </w:pPr>
                  <w:r>
                    <w:rPr>
                      <w:rFonts w:hint="default"/>
                      <w:color w:val="auto"/>
                      <w:sz w:val="18"/>
                      <w:szCs w:val="18"/>
                      <w:highlight w:val="none"/>
                    </w:rPr>
                    <w:t>1.区域准入要求执行“1)原则上按禁止开发区域的要求进行管理，严禁不符合主体功能定位的各类开发活动，严禁任意改变用途。2)生态保护红线内，自然保护地核心保护区原则上禁止人为活动。生态保护红线内自然保护地核心保护区外，禁止开发性、生产性建设活动，在符合法律法规的前提下，仅允许以下对生态功能不造成破坏的有限人为活动:管护巡护、保护执法、科学研究、调查监测、测绘导航、防灾减灾救灾、军事国防、疫情防控等活动及相关的必要设施修筑:原住居民和其他合法权益主体，允许在不扩大现有建设用地、耕地、水产养殖规模和放牧强度(符合草畜平衡管理规定)的前提下，开展种植、放牧、捕捞、养殖等活动，修筑生产生活设施;经依法批准的考古调查发掘、古生物化石调查发掘、标本采集和文物保护活动:按规定对人工商品林进行抚育采伐，或以提升森林质量、优化栖息地、建设生物防火隔离带等为目的的树种更新;不破坏生态功能的适度参观旅游、科普宣教及符合相关规划的配套性服务设施和相关的必要公共设施建设及维护:必须且无法避让、符合县级以上国土空间规划的线性基础设施、通讯和防洪、供水设施建设和船舶航行、航道疏浚清淤等活动;已有的合法水利、交通运输等设施运行维护改造:地质调查与矿产资源勘查开采。包括:基础地质调查和战略性矿产资源远景调查等公益性工作;铀矿勘查开采活动，可办理矿业权登记:已依法设立的油气探矿权继续勘查活动，可办理矿权延续、变更(不含扩大勘查区块范围)、保留、注销，当发现可供开采油气资源并探明储量时，可将开采拟占用的地表范围依照国家相关规定调出生态保护红线;已依法设立的油气采矿权不扩大用地范围，继续开采，可办理采矿权延续、变更(不含扩大矿区范围)、注销:已依法设立的矿泉水和地热采矿权，在不超出已经核定的生产规模、不新增生产设施的前提下继续开呆，可办理采矿权延续、变更(不含扩大矿区范围)、注销:已依法设立和新立的战略性矿产探矿权开展勘查活动，可办理探矿权登记，因国家战略需要开展开采活动的，可办理采矿权登记。上述勘查开采活动，应落实减缓生态环境影响措施，严格执行绿色勘查、开采及矿山环境生态修复相关要求:依据县级以上国土空间规划和生态保护修复专项规划开展的生态修复:根据我国相关法律法规和与邻国签署的国界管理制度协定(条约)开展的边界边境通视道清理以及界务工程的修建、维护和拆除工作:法律法规规定允许的其他人为活动。上述有限人为活动管理，涉及新增建设用地的，在报批农用地转用、土地征收时，附省级人民政府出具符合生态保护红线内允许有限人为活动的认定意见:不涉及新增建设用地的，按有关规定进行管理，无明确规定的由省级人民政府制定具体监管办法。上述活动涉及自然保护地的，应征求林业和草原主管部门或自然保护地管理机构意见。生态保护红线内自然保护区、风景名胜区、饮用水水源保护区等区域，依照法律法规执行。3)鼓励各地根据生态保护需要和规划，结合土地综合整治、工矿废弃地复垦利用、矿山环境恢复治理等各类工程实施因地制宜促进生态空间内建设用地逐步有序退出:区内已有的农业用地，建立逐步退出机制，恢复生态用途。”2.水源涵养功能极重要区同时执行“禁止开发建设活动要求:1)对重要水源涵养区建立生态功能保护区，加强对水源涵养区的保护与管理，严格保护具有重要水源涵养功能的自然植被，限制或禁止各种损害生态系统水源涵养功能的经济社会活动和生产方式，如无序采矿、毁林开荒、湿地和草地开垦、过度放牧、道路建设等。2)禁止导致水体污染的产业发展，开展生态清洁小流域的建设。3)严格监管矿产、水资源开发，严肃查处毁林、毁草、破坏湿地等行为。"3.生物多样性维护极重要区同时执行“禁止开发建设活动要求:1)禁止对野生动植物进行滥捕滥采，保持并恢复野生动植物物种和种群的平衡，实现野生动植物资源的良性循环和永续利用。2)保护自然生态系统与重要物种栖息地，限制或禁止各种损害栖息地的经济社会活动和生产方式，如无序采矿、毁林开荒、湿地和草地开垦、道路建设等，防止生态建设导致栖息环境的改变。”4.水土保持功能极重要区同时执行“禁止开发建设活动要求:1)全面实施保护天然林、退耕还林、退牧还草工程，严禁陡坡垦殖和过度放牧。2)禁止毁林开荒、烧山开荒和陡坡地开垦，合理开发自然资源，保护和恢复自然生态系统，增强区域水土保持能力。3)禁止在幼林地砍柴、毁苗、放牧。”5.黑龙江饶河东北黑蜂国家级自然保护区、黑龙江双鸭山大佳河省级自然保护区</w:t>
                  </w:r>
                  <w:r>
                    <w:rPr>
                      <w:rFonts w:hint="eastAsia"/>
                      <w:color w:val="auto"/>
                      <w:sz w:val="18"/>
                      <w:szCs w:val="18"/>
                      <w:highlight w:val="none"/>
                      <w:lang w:eastAsia="zh-CN"/>
                    </w:rPr>
                    <w:t>、</w:t>
                  </w:r>
                  <w:r>
                    <w:rPr>
                      <w:rFonts w:hint="default"/>
                      <w:color w:val="auto"/>
                      <w:sz w:val="18"/>
                      <w:szCs w:val="18"/>
                      <w:highlight w:val="none"/>
                    </w:rPr>
                    <w:t>黑龙江东方红国家级自然保护区、黑龙江挠力河国家级自然保护区同时执行“禁止开发建设活动要求:1)禁止在自然保护区内进行砍伐、放牧、狩猎、捕捞、采药、开垦、烧荒、开矿、采石、挖沙等活动:但法律、行政法规等另有规定的除外。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2)禁止在自然保护区的缓冲区开展旅游和生产经营活动。严禁开设与自然保护区保护方向不一致的参观、旅游项目。3)禁止在自然保护区的核心区和缓冲区内建设畜禽养殖场、养殖小区。4)禁止在自然保护区及其外围保护地带建立污染、破坏或者危害自然保护区自然环境和自然资源的设施。5)核心区和缓冲区内不得建设任何生产设施:实验区不得建设污染环境、破坏资源或者景观的生产设施。”6.黑龙江饶河乌苏里江国家湿地公园同时执行“禁止开发建设活动要求: 1)禁止擅自征收、占用国家湿地公园的土地。 2)除国家另有规定外，国家湿地公园内禁止下列行为:开(围)垦、填埋或者排干湿地:截断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3)在国家级自然公园内开展相关活动和设施建设，不得擅自改变其自然状态和历史风貌。4)禁止擅自在国家级自然公园内从事采矿、房地产、开发区、高尔夫球场、风力光伏电场等不符合管控要求的开发活动。 5)禁止违规侵占国家级自然公园，排放不符合水污染物排放标准的工业废水、生活污水及其他的废水、污水，倾倒、堆放、丢弃、遗撒固体废物等污染生态环境的行为。限制开发建设活动要求: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7.乌苏里江四排段哲罗鱼鲂国家级水产种质资源保护区同时执行“1)不得损害水产种质资源及其生存环境。2)禁止在水产种质资源保护区内从事围湖造田工程。3)禁止在水产种质资源保护区内新建排污口。4)在水产种质资源保护区附近新建、改建、扩建排污口，应当保证保护区水体不受污染。5)特别保护期内不得从事捕捞、爆破作业以及其他可能对保护区内生物资源和生态环境造成损害的活动。6)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8.黑龙江珍宝岛国家森林公园同时执行“禁止开发建设活动要求:1)在国家级自然公园内开展相关活动和设施建设，不得擅自改变其自然状态和历史风貌。2)禁止擅自在国家级自然公园内从事采矿、房地产、开发区、高尔夫球场、风力光伏电场等不符合管控要求的开发活动。3)禁止违规侵占国家级自然公园，排放不符合水污染物排放标准的工业废水、生活污水及其他的废水、污水，倾倒、堆放、丢弃、遗撒固体废物等污染生态环境的行为。限制开发建设活动要求: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w:t>
                  </w:r>
                </w:p>
              </w:tc>
            </w:tr>
            <w:tr w14:paraId="7E41F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center"/>
                </w:tcPr>
                <w:p w14:paraId="1DAB5604">
                  <w:pPr>
                    <w:pStyle w:val="98"/>
                    <w:bidi w:val="0"/>
                    <w:rPr>
                      <w:rFonts w:hint="default"/>
                      <w:color w:val="auto"/>
                      <w:sz w:val="18"/>
                      <w:szCs w:val="18"/>
                      <w:highlight w:val="none"/>
                      <w:lang w:val="zh-CN"/>
                    </w:rPr>
                  </w:pPr>
                  <w:r>
                    <w:rPr>
                      <w:rFonts w:hint="default"/>
                      <w:color w:val="auto"/>
                      <w:sz w:val="18"/>
                      <w:szCs w:val="18"/>
                      <w:highlight w:val="none"/>
                      <w:lang w:val="zh-CN"/>
                    </w:rPr>
                    <w:t>ZH23052410002</w:t>
                  </w:r>
                </w:p>
              </w:tc>
              <w:tc>
                <w:tcPr>
                  <w:tcW w:w="750" w:type="pct"/>
                  <w:tcBorders>
                    <w:tl2br w:val="nil"/>
                    <w:tr2bl w:val="nil"/>
                  </w:tcBorders>
                  <w:noWrap w:val="0"/>
                  <w:vAlign w:val="center"/>
                </w:tcPr>
                <w:p w14:paraId="31DB0161">
                  <w:pPr>
                    <w:pStyle w:val="98"/>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饶河县一般生态空间</w:t>
                  </w:r>
                </w:p>
              </w:tc>
              <w:tc>
                <w:tcPr>
                  <w:tcW w:w="460" w:type="pct"/>
                  <w:tcBorders>
                    <w:tl2br w:val="nil"/>
                    <w:tr2bl w:val="nil"/>
                  </w:tcBorders>
                  <w:noWrap w:val="0"/>
                  <w:vAlign w:val="center"/>
                </w:tcPr>
                <w:p w14:paraId="23A3517A">
                  <w:pPr>
                    <w:pStyle w:val="98"/>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优先保护单元</w:t>
                  </w:r>
                </w:p>
              </w:tc>
              <w:tc>
                <w:tcPr>
                  <w:tcW w:w="450" w:type="pct"/>
                  <w:tcBorders>
                    <w:tl2br w:val="nil"/>
                    <w:tr2bl w:val="nil"/>
                  </w:tcBorders>
                  <w:noWrap w:val="0"/>
                  <w:vAlign w:val="center"/>
                </w:tcPr>
                <w:p w14:paraId="6AE9C9BA">
                  <w:pPr>
                    <w:pStyle w:val="98"/>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空间布局约束</w:t>
                  </w:r>
                </w:p>
              </w:tc>
              <w:tc>
                <w:tcPr>
                  <w:tcW w:w="2610" w:type="pct"/>
                  <w:tcBorders>
                    <w:tl2br w:val="nil"/>
                    <w:tr2bl w:val="nil"/>
                  </w:tcBorders>
                  <w:noWrap w:val="0"/>
                  <w:vAlign w:val="center"/>
                </w:tcPr>
                <w:p w14:paraId="72A200DF">
                  <w:pPr>
                    <w:pStyle w:val="98"/>
                    <w:bidi w:val="0"/>
                    <w:jc w:val="both"/>
                    <w:rPr>
                      <w:rFonts w:hint="default"/>
                      <w:color w:val="auto"/>
                      <w:sz w:val="18"/>
                      <w:szCs w:val="18"/>
                      <w:highlight w:val="none"/>
                      <w:lang w:val="en-US" w:eastAsia="zh-CN"/>
                    </w:rPr>
                  </w:pPr>
                  <w:r>
                    <w:rPr>
                      <w:rFonts w:hint="default"/>
                      <w:color w:val="auto"/>
                      <w:sz w:val="18"/>
                      <w:szCs w:val="18"/>
                      <w:highlight w:val="none"/>
                      <w:lang w:val="en-US" w:eastAsia="zh-CN"/>
                    </w:rPr>
                    <w:t>1.执行“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2)对依法保护的生态空间实行承载力控制，防止过度垦殖、放牧、采伐、取水、渔猎、旅游等对生态功能造成损害，确保自然生态系统的稳定。3)避免开发建设活动损害其生态服务功能和生态产品质量。4)已经侵占生态空间的，应建立退出机制、制定治理方案及时间表。自然生态系统的稳定。”2.乌苏里江四排段哲罗鱼鲂国家级水产种质资源保护区同时执行“1)不得损害水产种质资源及其生存环境。2)禁止在水产种质资源保护区内从事围湖造田工程。3)禁止在水产种质资源保护区内新建排污口。4)在水产种质资源保护区附近新建、改建、扩建排污口，应当保证保护区水体不受污染。5)特别保护期内不得从事捕捞、爆破作业以及其他可能对保护区内生物资源和生态环境造成损害的活动。6)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r>
            <w:tr w14:paraId="61AAE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center"/>
                </w:tcPr>
                <w:p w14:paraId="59849415">
                  <w:pPr>
                    <w:pStyle w:val="98"/>
                    <w:bidi w:val="0"/>
                    <w:rPr>
                      <w:rFonts w:hint="default"/>
                      <w:color w:val="auto"/>
                      <w:sz w:val="18"/>
                      <w:szCs w:val="18"/>
                      <w:highlight w:val="none"/>
                    </w:rPr>
                  </w:pPr>
                  <w:r>
                    <w:rPr>
                      <w:rFonts w:hint="default"/>
                      <w:color w:val="auto"/>
                      <w:sz w:val="18"/>
                      <w:szCs w:val="18"/>
                      <w:highlight w:val="none"/>
                    </w:rPr>
                    <w:t>符合性分析</w:t>
                  </w:r>
                </w:p>
              </w:tc>
              <w:tc>
                <w:tcPr>
                  <w:tcW w:w="4271" w:type="pct"/>
                  <w:gridSpan w:val="4"/>
                  <w:tcBorders>
                    <w:tl2br w:val="nil"/>
                    <w:tr2bl w:val="nil"/>
                  </w:tcBorders>
                  <w:noWrap w:val="0"/>
                  <w:vAlign w:val="center"/>
                </w:tcPr>
                <w:p w14:paraId="23E03B5C">
                  <w:pPr>
                    <w:pStyle w:val="98"/>
                    <w:bidi w:val="0"/>
                    <w:jc w:val="left"/>
                    <w:rPr>
                      <w:rFonts w:hint="default"/>
                      <w:color w:val="auto"/>
                      <w:sz w:val="18"/>
                      <w:szCs w:val="18"/>
                      <w:highlight w:val="none"/>
                    </w:rPr>
                  </w:pPr>
                  <w:r>
                    <w:rPr>
                      <w:rFonts w:cs="Times New Roman"/>
                      <w:color w:val="auto"/>
                      <w:sz w:val="18"/>
                      <w:szCs w:val="18"/>
                      <w:highlight w:val="none"/>
                    </w:rPr>
                    <w:t>本项目为</w:t>
                  </w:r>
                  <w:r>
                    <w:rPr>
                      <w:rFonts w:hint="eastAsia" w:cs="Times New Roman"/>
                      <w:color w:val="auto"/>
                      <w:sz w:val="18"/>
                      <w:szCs w:val="18"/>
                      <w:highlight w:val="none"/>
                      <w:lang w:val="en-US" w:eastAsia="zh-CN"/>
                    </w:rPr>
                    <w:t>大带河</w:t>
                  </w:r>
                  <w:r>
                    <w:rPr>
                      <w:rFonts w:cs="Times New Roman"/>
                      <w:color w:val="auto"/>
                      <w:sz w:val="18"/>
                      <w:szCs w:val="18"/>
                      <w:highlight w:val="none"/>
                    </w:rPr>
                    <w:t>防洪工程建设</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利用黑龙江省生态环境分区管控数据应用平台进行分析，设置</w:t>
                  </w:r>
                  <w:r>
                    <w:rPr>
                      <w:rFonts w:hint="eastAsia" w:cs="Times New Roman"/>
                      <w:color w:val="auto"/>
                      <w:sz w:val="18"/>
                      <w:szCs w:val="18"/>
                      <w:highlight w:val="none"/>
                      <w:lang w:eastAsia="zh-CN"/>
                    </w:rPr>
                    <w:t>缓冲范围为1</w:t>
                  </w:r>
                  <w:r>
                    <w:rPr>
                      <w:rFonts w:hint="eastAsia" w:cs="Times New Roman"/>
                      <w:color w:val="auto"/>
                      <w:sz w:val="18"/>
                      <w:szCs w:val="18"/>
                      <w:highlight w:val="none"/>
                      <w:lang w:val="en-US" w:eastAsia="zh-CN"/>
                    </w:rPr>
                    <w:t>m</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经统计项目涉及优先保护单元，占项目占地面积的100%，</w:t>
                  </w:r>
                  <w:r>
                    <w:rPr>
                      <w:rFonts w:hint="eastAsia"/>
                      <w:color w:val="auto"/>
                      <w:sz w:val="18"/>
                      <w:szCs w:val="18"/>
                      <w:highlight w:val="none"/>
                      <w:lang w:val="en-US" w:eastAsia="zh-CN"/>
                    </w:rPr>
                    <w:t>本工程与环境管控单元叠加情况详见图1-1</w:t>
                  </w:r>
                  <w:r>
                    <w:rPr>
                      <w:rFonts w:hint="eastAsia"/>
                      <w:color w:val="auto"/>
                      <w:sz w:val="18"/>
                      <w:szCs w:val="18"/>
                      <w:highlight w:val="none"/>
                      <w:lang w:eastAsia="zh-CN"/>
                    </w:rPr>
                    <w:t>。</w:t>
                  </w:r>
                  <w:r>
                    <w:rPr>
                      <w:rFonts w:hint="eastAsia"/>
                      <w:color w:val="auto"/>
                      <w:sz w:val="18"/>
                      <w:szCs w:val="18"/>
                      <w:highlight w:val="none"/>
                      <w:lang w:val="en-US" w:eastAsia="zh-CN"/>
                    </w:rPr>
                    <w:t>本工程位于饶河县三江平原生物多样性维护功能生态保护红线-水源涵养生态功能重要区，本项目不属于水源涵养功能极重要区禁止开发建设活动要求，并且能起到保护水源的作用；</w:t>
                  </w:r>
                  <w:r>
                    <w:rPr>
                      <w:rFonts w:hint="eastAsia" w:cs="Times New Roman"/>
                      <w:color w:val="auto"/>
                      <w:sz w:val="18"/>
                      <w:szCs w:val="18"/>
                      <w:highlight w:val="none"/>
                      <w:lang w:val="en-US" w:eastAsia="zh-CN"/>
                    </w:rPr>
                    <w:t>黑龙江省生态环境分区管控数据应用平台分析采用自然保护地优化整合后的数据，本工程占用黑龙江乌苏里江国家湿地公园保育区及黑龙江饶河东北黑蜂国家级自然保护区实验区</w:t>
                  </w:r>
                  <w:r>
                    <w:rPr>
                      <w:rFonts w:hint="eastAsia"/>
                      <w:color w:val="auto"/>
                      <w:sz w:val="18"/>
                      <w:szCs w:val="18"/>
                      <w:highlight w:val="none"/>
                      <w:lang w:val="en-US" w:eastAsia="zh-CN"/>
                    </w:rPr>
                    <w:t>。本项目距离东北黑蜂国家级自然保护区缓冲区最近距离6350m，距离东北黑蜂国家级自然保护区核心区最近距离6990m。工程1700m位于黑龙江乌苏里江国家湿地公园生态保育区内。</w:t>
                  </w:r>
                  <w:r>
                    <w:rPr>
                      <w:rFonts w:hint="default"/>
                      <w:color w:val="auto"/>
                      <w:sz w:val="18"/>
                      <w:szCs w:val="18"/>
                      <w:highlight w:val="none"/>
                      <w:lang w:val="en-US"/>
                    </w:rPr>
                    <w:t>本项目</w:t>
                  </w:r>
                  <w:r>
                    <w:rPr>
                      <w:rFonts w:hint="default"/>
                      <w:color w:val="auto"/>
                      <w:sz w:val="18"/>
                      <w:szCs w:val="18"/>
                      <w:highlight w:val="none"/>
                      <w:lang w:val="en-US" w:eastAsia="zh-CN"/>
                    </w:rPr>
                    <w:t>不属于</w:t>
                  </w:r>
                  <w:r>
                    <w:rPr>
                      <w:rFonts w:hint="eastAsia" w:cs="Times New Roman"/>
                      <w:color w:val="auto"/>
                      <w:sz w:val="18"/>
                      <w:szCs w:val="18"/>
                      <w:highlight w:val="none"/>
                      <w:lang w:val="en-US" w:eastAsia="zh-CN"/>
                    </w:rPr>
                    <w:t>黑龙江乌苏里江国家湿地公园及黑龙江饶河东北黑蜂国家级自然保护区</w:t>
                  </w:r>
                  <w:r>
                    <w:rPr>
                      <w:rFonts w:hint="default"/>
                      <w:color w:val="auto"/>
                      <w:sz w:val="18"/>
                      <w:szCs w:val="18"/>
                      <w:highlight w:val="none"/>
                    </w:rPr>
                    <w:t>禁止开发建设活动</w:t>
                  </w:r>
                  <w:r>
                    <w:rPr>
                      <w:rFonts w:hint="eastAsia"/>
                      <w:color w:val="auto"/>
                      <w:sz w:val="18"/>
                      <w:szCs w:val="18"/>
                      <w:highlight w:val="none"/>
                    </w:rPr>
                    <w:t>、</w:t>
                  </w:r>
                  <w:r>
                    <w:rPr>
                      <w:rFonts w:hint="eastAsia"/>
                      <w:color w:val="auto"/>
                      <w:sz w:val="18"/>
                      <w:szCs w:val="18"/>
                      <w:highlight w:val="none"/>
                      <w:lang w:val="zh-CN"/>
                    </w:rPr>
                    <w:t>限制开发建设活动要求</w:t>
                  </w:r>
                  <w:r>
                    <w:rPr>
                      <w:rFonts w:hint="eastAsia"/>
                      <w:color w:val="auto"/>
                      <w:sz w:val="18"/>
                      <w:szCs w:val="18"/>
                      <w:highlight w:val="none"/>
                      <w:lang w:eastAsia="zh-CN"/>
                    </w:rPr>
                    <w:t>。</w:t>
                  </w:r>
                  <w:r>
                    <w:rPr>
                      <w:rFonts w:hint="default"/>
                      <w:color w:val="auto"/>
                      <w:sz w:val="18"/>
                      <w:szCs w:val="18"/>
                      <w:highlight w:val="none"/>
                    </w:rPr>
                    <w:t>工程运行期间不产生废水、废气等污染物；施工期间产生的生活污水不外排；大气污染物通过洒水降尘等措施有效抑尘；在严格落实本报告提出的各项措施后，工程建设对外环境影响较小，工程实施前征得各保护地行政主管部门同意且履行相关手续后，</w:t>
                  </w:r>
                  <w:r>
                    <w:rPr>
                      <w:rFonts w:hint="default"/>
                      <w:color w:val="auto"/>
                      <w:sz w:val="18"/>
                      <w:szCs w:val="18"/>
                      <w:highlight w:val="none"/>
                      <w:lang w:val="en-US"/>
                    </w:rPr>
                    <w:t>符合</w:t>
                  </w:r>
                  <w:r>
                    <w:rPr>
                      <w:rFonts w:hint="eastAsia"/>
                      <w:color w:val="auto"/>
                      <w:sz w:val="18"/>
                      <w:szCs w:val="18"/>
                      <w:highlight w:val="none"/>
                      <w:lang w:val="en-US" w:eastAsia="zh-CN"/>
                    </w:rPr>
                    <w:t>饶河县</w:t>
                  </w:r>
                  <w:r>
                    <w:rPr>
                      <w:rFonts w:hint="default"/>
                      <w:color w:val="auto"/>
                      <w:sz w:val="18"/>
                      <w:szCs w:val="18"/>
                      <w:highlight w:val="none"/>
                    </w:rPr>
                    <w:t>生态保护红线区空间布局约束管控要求，工程建设与</w:t>
                  </w:r>
                  <w:r>
                    <w:rPr>
                      <w:rFonts w:hint="eastAsia"/>
                      <w:color w:val="auto"/>
                      <w:sz w:val="18"/>
                      <w:szCs w:val="18"/>
                      <w:highlight w:val="none"/>
                      <w:lang w:val="en-US" w:eastAsia="zh-CN"/>
                    </w:rPr>
                    <w:t>饶河县</w:t>
                  </w:r>
                  <w:r>
                    <w:rPr>
                      <w:rFonts w:hint="default"/>
                      <w:color w:val="auto"/>
                      <w:sz w:val="18"/>
                      <w:szCs w:val="18"/>
                      <w:highlight w:val="none"/>
                    </w:rPr>
                    <w:t>生态环境准入清单中相应环境管控单元中的管控要求相符合。</w:t>
                  </w:r>
                </w:p>
              </w:tc>
            </w:tr>
          </w:tbl>
          <w:p w14:paraId="16022337">
            <w:pPr>
              <w:pStyle w:val="56"/>
              <w:ind w:firstLine="420"/>
              <w:rPr>
                <w:rFonts w:hint="eastAsia"/>
                <w:color w:val="auto"/>
                <w:highlight w:val="none"/>
              </w:rPr>
            </w:pPr>
            <w:r>
              <w:rPr>
                <w:rFonts w:hint="eastAsia"/>
                <w:color w:val="auto"/>
                <w:highlight w:val="none"/>
              </w:rPr>
              <w:t>经分析，本项目满足生态环境准入清单要求，建设可行。</w:t>
            </w:r>
          </w:p>
          <w:p w14:paraId="2ABE92C3">
            <w:pPr>
              <w:pStyle w:val="56"/>
              <w:rPr>
                <w:b/>
                <w:bCs/>
                <w:color w:val="auto"/>
                <w:highlight w:val="none"/>
              </w:rPr>
            </w:pPr>
            <w:r>
              <w:rPr>
                <w:rFonts w:hint="eastAsia"/>
                <w:b/>
                <w:bCs/>
                <w:color w:val="auto"/>
                <w:highlight w:val="none"/>
              </w:rPr>
              <w:t>三、本项目与“水利建设项目（河湖整治与防洪除涝工程）环境影响评价文件审批原则”的符合性分析</w:t>
            </w:r>
          </w:p>
          <w:p w14:paraId="7C2F46D6">
            <w:pPr>
              <w:pStyle w:val="55"/>
              <w:rPr>
                <w:color w:val="auto"/>
                <w:highlight w:val="none"/>
              </w:rPr>
            </w:pPr>
            <w:r>
              <w:rPr>
                <w:color w:val="auto"/>
                <w:highlight w:val="none"/>
              </w:rPr>
              <w:t>表1-</w:t>
            </w:r>
            <w:r>
              <w:rPr>
                <w:rFonts w:hint="eastAsia"/>
                <w:color w:val="auto"/>
                <w:highlight w:val="none"/>
                <w:lang w:val="en-US" w:eastAsia="zh-CN"/>
              </w:rPr>
              <w:t>5</w:t>
            </w:r>
            <w:r>
              <w:rPr>
                <w:color w:val="auto"/>
                <w:highlight w:val="none"/>
              </w:rPr>
              <w:t xml:space="preserve"> 项目与“</w:t>
            </w:r>
            <w:r>
              <w:rPr>
                <w:rFonts w:hint="eastAsia"/>
                <w:color w:val="auto"/>
                <w:highlight w:val="none"/>
              </w:rPr>
              <w:t>水利建设项目（河湖整治与防洪除涝工程）环境影响评价文件审批原则</w:t>
            </w:r>
            <w:r>
              <w:rPr>
                <w:color w:val="auto"/>
                <w:highlight w:val="none"/>
              </w:rPr>
              <w:t>”符合性分析</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67"/>
              <w:gridCol w:w="3057"/>
              <w:gridCol w:w="464"/>
            </w:tblGrid>
            <w:tr w14:paraId="0CF35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190745B8">
                  <w:pPr>
                    <w:pStyle w:val="51"/>
                    <w:rPr>
                      <w:color w:val="auto"/>
                      <w:highlight w:val="none"/>
                    </w:rPr>
                  </w:pPr>
                  <w:r>
                    <w:rPr>
                      <w:rFonts w:hint="eastAsia"/>
                      <w:color w:val="auto"/>
                      <w:highlight w:val="none"/>
                    </w:rPr>
                    <w:t>文件要求</w:t>
                  </w:r>
                </w:p>
              </w:tc>
              <w:tc>
                <w:tcPr>
                  <w:tcW w:w="2097" w:type="pct"/>
                  <w:vAlign w:val="center"/>
                </w:tcPr>
                <w:p w14:paraId="432E2D88">
                  <w:pPr>
                    <w:pStyle w:val="51"/>
                    <w:jc w:val="both"/>
                    <w:rPr>
                      <w:color w:val="auto"/>
                      <w:highlight w:val="none"/>
                    </w:rPr>
                  </w:pPr>
                  <w:r>
                    <w:rPr>
                      <w:color w:val="auto"/>
                      <w:highlight w:val="none"/>
                    </w:rPr>
                    <w:t>项目与“</w:t>
                  </w:r>
                  <w:r>
                    <w:rPr>
                      <w:rFonts w:hint="eastAsia"/>
                      <w:color w:val="auto"/>
                      <w:highlight w:val="none"/>
                    </w:rPr>
                    <w:t>水利建设项目（河湖整治与防洪除涝工程）环境影响评价文件审批原则</w:t>
                  </w:r>
                  <w:r>
                    <w:rPr>
                      <w:color w:val="auto"/>
                      <w:highlight w:val="none"/>
                    </w:rPr>
                    <w:t>”符合性分析</w:t>
                  </w:r>
                </w:p>
              </w:tc>
              <w:tc>
                <w:tcPr>
                  <w:tcW w:w="318" w:type="pct"/>
                  <w:vAlign w:val="center"/>
                </w:tcPr>
                <w:p w14:paraId="60F6328C">
                  <w:pPr>
                    <w:pStyle w:val="51"/>
                    <w:rPr>
                      <w:color w:val="auto"/>
                      <w:highlight w:val="none"/>
                    </w:rPr>
                  </w:pPr>
                  <w:r>
                    <w:rPr>
                      <w:color w:val="auto"/>
                      <w:highlight w:val="none"/>
                    </w:rPr>
                    <w:t>符合性</w:t>
                  </w:r>
                </w:p>
              </w:tc>
            </w:tr>
            <w:tr w14:paraId="67060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56C7EC85">
                  <w:pPr>
                    <w:pStyle w:val="51"/>
                    <w:jc w:val="both"/>
                    <w:rPr>
                      <w:color w:val="auto"/>
                      <w:highlight w:val="none"/>
                    </w:rPr>
                  </w:pPr>
                  <w:r>
                    <w:rPr>
                      <w:rFonts w:hint="eastAsia"/>
                      <w:color w:val="auto"/>
                      <w:highlight w:val="none"/>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2097" w:type="pct"/>
                  <w:vAlign w:val="center"/>
                </w:tcPr>
                <w:p w14:paraId="6F5C8C79">
                  <w:pPr>
                    <w:pStyle w:val="51"/>
                    <w:jc w:val="both"/>
                    <w:rPr>
                      <w:color w:val="auto"/>
                      <w:highlight w:val="none"/>
                    </w:rPr>
                  </w:pPr>
                  <w:r>
                    <w:rPr>
                      <w:rFonts w:hint="eastAsia"/>
                      <w:color w:val="auto"/>
                      <w:highlight w:val="none"/>
                    </w:rPr>
                    <w:t>本项目属于防洪除涝工程，符合环境保护相关法律法规和政策要求；并与《黑龙江省主体功能区规划》、《黑龙江省生态功能区划》、《黑龙江省水土保持规划（2015-2030年）》、《黑龙江省“十四五”生态环境保护规划》等相协调。工程所在区域流域综合规划、防洪规划等。工程不涉及岸线调整(治导线变化)、裁弯取直、围垦水面和占用河湖滩地等建设内容。</w:t>
                  </w:r>
                </w:p>
              </w:tc>
              <w:tc>
                <w:tcPr>
                  <w:tcW w:w="318" w:type="pct"/>
                  <w:vAlign w:val="center"/>
                </w:tcPr>
                <w:p w14:paraId="306B7B6F">
                  <w:pPr>
                    <w:pStyle w:val="51"/>
                    <w:rPr>
                      <w:color w:val="auto"/>
                      <w:highlight w:val="none"/>
                    </w:rPr>
                  </w:pPr>
                  <w:r>
                    <w:rPr>
                      <w:color w:val="auto"/>
                      <w:highlight w:val="none"/>
                    </w:rPr>
                    <w:t>符合</w:t>
                  </w:r>
                </w:p>
              </w:tc>
            </w:tr>
            <w:tr w14:paraId="3CEC09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55DBF2E9">
                  <w:pPr>
                    <w:pStyle w:val="51"/>
                    <w:jc w:val="both"/>
                    <w:rPr>
                      <w:color w:val="auto"/>
                      <w:highlight w:val="none"/>
                    </w:rPr>
                  </w:pPr>
                  <w:r>
                    <w:rPr>
                      <w:rFonts w:hint="eastAsia"/>
                      <w:color w:val="auto"/>
                      <w:highlight w:val="none"/>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097" w:type="pct"/>
                  <w:vAlign w:val="center"/>
                </w:tcPr>
                <w:p w14:paraId="06F8C721">
                  <w:pPr>
                    <w:pStyle w:val="51"/>
                    <w:jc w:val="both"/>
                    <w:rPr>
                      <w:color w:val="auto"/>
                      <w:highlight w:val="none"/>
                    </w:rPr>
                  </w:pPr>
                  <w:r>
                    <w:rPr>
                      <w:color w:val="auto"/>
                      <w:highlight w:val="none"/>
                    </w:rPr>
                    <w:t>本工程涉及的环境敏感区为生态保护红线、</w:t>
                  </w:r>
                  <w:r>
                    <w:rPr>
                      <w:rFonts w:hint="eastAsia" w:cs="Times New Roman"/>
                      <w:color w:val="auto"/>
                      <w:sz w:val="18"/>
                      <w:szCs w:val="18"/>
                      <w:highlight w:val="none"/>
                      <w:lang w:val="en-US" w:eastAsia="zh-CN"/>
                    </w:rPr>
                    <w:t>黑龙江乌苏里江国家湿地公园及黑龙江饶河东北黑蜂国家级自然保护区</w:t>
                  </w:r>
                  <w:r>
                    <w:rPr>
                      <w:color w:val="auto"/>
                      <w:highlight w:val="none"/>
                    </w:rPr>
                    <w:t>，三者相互交叉重叠。</w:t>
                  </w:r>
                </w:p>
                <w:p w14:paraId="577A0B1C">
                  <w:pPr>
                    <w:pStyle w:val="51"/>
                    <w:jc w:val="both"/>
                    <w:rPr>
                      <w:color w:val="auto"/>
                      <w:highlight w:val="none"/>
                    </w:rPr>
                  </w:pPr>
                  <w:r>
                    <w:rPr>
                      <w:color w:val="auto"/>
                      <w:highlight w:val="none"/>
                    </w:rPr>
                    <w:t>根据自然资源部 生态环境部 国家林业和草原局关于加强生态保护红线管理的通知（试行）（2022年8月16日）中“一、加强人为活动管控”中“6必须且无法避让、符合县级以上国土空间规划的线性基础设施、通讯和防洪、供水设施建设和船舶航行、航道疏浚清淤等活动；已有的合法水利、交通运输等设施运行维护改造。”本次工程为</w:t>
                  </w:r>
                  <w:r>
                    <w:rPr>
                      <w:rFonts w:hint="eastAsia"/>
                      <w:color w:val="auto"/>
                      <w:highlight w:val="none"/>
                      <w:lang w:eastAsia="zh-CN"/>
                    </w:rPr>
                    <w:t>黑龙江省饶河县大带河治理工程（补充）（EPC）</w:t>
                  </w:r>
                  <w:r>
                    <w:rPr>
                      <w:color w:val="auto"/>
                      <w:highlight w:val="none"/>
                    </w:rPr>
                    <w:t>，符合自然资源部、生态环境部、国家林草局《关于加强生态保护红线管理的通知（试行）》</w:t>
                  </w:r>
                  <w:r>
                    <w:rPr>
                      <w:rFonts w:hint="eastAsia"/>
                      <w:color w:val="auto"/>
                      <w:highlight w:val="none"/>
                      <w:lang w:eastAsia="zh-CN"/>
                    </w:rPr>
                    <w:t>（</w:t>
                  </w:r>
                  <w:r>
                    <w:rPr>
                      <w:color w:val="auto"/>
                      <w:highlight w:val="none"/>
                    </w:rPr>
                    <w:t>自然资发〔2022〕142号</w:t>
                  </w:r>
                  <w:r>
                    <w:rPr>
                      <w:rFonts w:hint="eastAsia"/>
                      <w:color w:val="auto"/>
                      <w:highlight w:val="none"/>
                      <w:lang w:eastAsia="zh-CN"/>
                    </w:rPr>
                    <w:t>）</w:t>
                  </w:r>
                  <w:r>
                    <w:rPr>
                      <w:color w:val="auto"/>
                      <w:highlight w:val="none"/>
                    </w:rPr>
                    <w:t>规定，属于生态保护红线范围内的允许有限人为活动。因此，本工程建设符合生态保护红线要求。</w:t>
                  </w:r>
                </w:p>
                <w:p w14:paraId="4A8C28F1">
                  <w:pPr>
                    <w:pStyle w:val="51"/>
                    <w:jc w:val="both"/>
                    <w:rPr>
                      <w:color w:val="auto"/>
                      <w:highlight w:val="none"/>
                    </w:rPr>
                  </w:pPr>
                  <w:r>
                    <w:rPr>
                      <w:color w:val="auto"/>
                      <w:highlight w:val="none"/>
                    </w:rPr>
                    <w:t>工程位于</w:t>
                  </w:r>
                  <w:r>
                    <w:rPr>
                      <w:rFonts w:hint="eastAsia"/>
                      <w:color w:val="auto"/>
                      <w:highlight w:val="none"/>
                      <w:lang w:val="en-US" w:eastAsia="zh-CN"/>
                    </w:rPr>
                    <w:t>黑龙江乌苏里江国家湿地公园</w:t>
                  </w:r>
                  <w:r>
                    <w:rPr>
                      <w:color w:val="auto"/>
                      <w:highlight w:val="none"/>
                    </w:rPr>
                    <w:t>范围内。根据《国家级自然公园管理办法（试行）》第十九条国家级自然公园范围内除国家重大项目外，仅允许对生态功能不造成破坏的有限人为活动（三）符合生态保护红线管控要求的其他活动和设施建设。由前述可知工程建设符合生态保护红线管控要求。</w:t>
                  </w:r>
                </w:p>
                <w:p w14:paraId="322FDB7A">
                  <w:pPr>
                    <w:pStyle w:val="51"/>
                    <w:jc w:val="both"/>
                    <w:rPr>
                      <w:color w:val="auto"/>
                      <w:highlight w:val="none"/>
                    </w:rPr>
                  </w:pPr>
                  <w:r>
                    <w:rPr>
                      <w:color w:val="auto"/>
                      <w:highlight w:val="none"/>
                    </w:rPr>
                    <w:t>本次工程施工布置尽量避开生态保护红线、</w:t>
                  </w:r>
                  <w:r>
                    <w:rPr>
                      <w:rFonts w:hint="eastAsia"/>
                      <w:color w:val="auto"/>
                      <w:highlight w:val="none"/>
                      <w:lang w:val="en-US" w:eastAsia="zh-CN"/>
                    </w:rPr>
                    <w:t>湿地</w:t>
                  </w:r>
                  <w:r>
                    <w:rPr>
                      <w:color w:val="auto"/>
                      <w:highlight w:val="none"/>
                    </w:rPr>
                    <w:t>公园和等环境敏感区，但因工程主体位于上述敏感区范围内的，部分施工仍不可避免的要布置在生态保护红线及</w:t>
                  </w:r>
                  <w:r>
                    <w:rPr>
                      <w:rFonts w:hint="eastAsia"/>
                      <w:color w:val="auto"/>
                      <w:highlight w:val="none"/>
                      <w:lang w:val="en-US" w:eastAsia="zh-CN"/>
                    </w:rPr>
                    <w:t>湿地</w:t>
                  </w:r>
                  <w:r>
                    <w:rPr>
                      <w:color w:val="auto"/>
                      <w:highlight w:val="none"/>
                    </w:rPr>
                    <w:t>公园内，建设单位需与上述保护地行政主管部门沟通，征得同意后方可进行施工布置。</w:t>
                  </w:r>
                </w:p>
                <w:p w14:paraId="3E61F5FB">
                  <w:pPr>
                    <w:pStyle w:val="51"/>
                    <w:jc w:val="both"/>
                    <w:rPr>
                      <w:rFonts w:hint="eastAsia"/>
                      <w:color w:val="auto"/>
                      <w:highlight w:val="none"/>
                    </w:rPr>
                  </w:pPr>
                  <w:r>
                    <w:rPr>
                      <w:rFonts w:hint="eastAsia"/>
                      <w:color w:val="auto"/>
                      <w:highlight w:val="none"/>
                      <w:lang w:val="en-US" w:eastAsia="zh-CN"/>
                    </w:rPr>
                    <w:t>工程实施后，</w:t>
                  </w:r>
                  <w:r>
                    <w:rPr>
                      <w:rFonts w:hint="eastAsia"/>
                      <w:color w:val="auto"/>
                      <w:highlight w:val="none"/>
                    </w:rPr>
                    <w:t>将提高城区防洪能力，减少因洪水泛滥导致大量农药、化肥、生活垃圾等进入</w:t>
                  </w:r>
                  <w:r>
                    <w:rPr>
                      <w:rFonts w:hint="eastAsia"/>
                      <w:color w:val="auto"/>
                      <w:highlight w:val="none"/>
                      <w:lang w:val="en-US" w:eastAsia="zh-CN"/>
                    </w:rPr>
                    <w:t>大带</w:t>
                  </w:r>
                  <w:r>
                    <w:rPr>
                      <w:rFonts w:hint="eastAsia"/>
                      <w:color w:val="auto"/>
                      <w:highlight w:val="none"/>
                    </w:rPr>
                    <w:t>河</w:t>
                  </w:r>
                  <w:r>
                    <w:rPr>
                      <w:rFonts w:hint="eastAsia"/>
                      <w:color w:val="auto"/>
                      <w:highlight w:val="none"/>
                      <w:lang w:eastAsia="zh-CN"/>
                    </w:rPr>
                    <w:t>，</w:t>
                  </w:r>
                  <w:r>
                    <w:rPr>
                      <w:rFonts w:hint="eastAsia"/>
                      <w:color w:val="auto"/>
                      <w:highlight w:val="none"/>
                    </w:rPr>
                    <w:t>同时防洪提升工程实施将减轻河岸冲刷，降低泥沙入河量，在一定程度上减少水土流失。</w:t>
                  </w:r>
                </w:p>
                <w:p w14:paraId="5BCEB3CF">
                  <w:pPr>
                    <w:pStyle w:val="51"/>
                    <w:jc w:val="both"/>
                    <w:rPr>
                      <w:color w:val="auto"/>
                      <w:highlight w:val="none"/>
                    </w:rPr>
                  </w:pPr>
                  <w:r>
                    <w:rPr>
                      <w:color w:val="auto"/>
                      <w:highlight w:val="none"/>
                    </w:rPr>
                    <w:t>综合上述分析，本次工程选址选线、施工布置与各环境敏感因素及法律法规等相符合。</w:t>
                  </w:r>
                </w:p>
              </w:tc>
              <w:tc>
                <w:tcPr>
                  <w:tcW w:w="318" w:type="pct"/>
                  <w:vAlign w:val="center"/>
                </w:tcPr>
                <w:p w14:paraId="217D65AC">
                  <w:pPr>
                    <w:pStyle w:val="51"/>
                    <w:rPr>
                      <w:color w:val="auto"/>
                      <w:highlight w:val="none"/>
                    </w:rPr>
                  </w:pPr>
                  <w:r>
                    <w:rPr>
                      <w:color w:val="auto"/>
                      <w:highlight w:val="none"/>
                    </w:rPr>
                    <w:t>符合</w:t>
                  </w:r>
                </w:p>
              </w:tc>
            </w:tr>
            <w:tr w14:paraId="3DEEA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048B0FE7">
                  <w:pPr>
                    <w:pStyle w:val="51"/>
                    <w:jc w:val="both"/>
                    <w:rPr>
                      <w:color w:val="auto"/>
                      <w:highlight w:val="none"/>
                    </w:rPr>
                  </w:pPr>
                  <w:r>
                    <w:rPr>
                      <w:color w:val="auto"/>
                      <w:highlight w:val="none"/>
                    </w:rPr>
                    <w:t>项目对鱼类等水生生物的洄游通道及“三场”等重要生境、物种多样性及资源量等产生不利影响的，提出了下泄生态流量、恢复鱼类洄游通道、采用生态友好型护岸（坡、底）、生态修复、增殖放流等措施。</w:t>
                  </w:r>
                </w:p>
              </w:tc>
              <w:tc>
                <w:tcPr>
                  <w:tcW w:w="2097" w:type="pct"/>
                  <w:vAlign w:val="center"/>
                </w:tcPr>
                <w:p w14:paraId="293780BF">
                  <w:pPr>
                    <w:pStyle w:val="51"/>
                    <w:jc w:val="both"/>
                    <w:rPr>
                      <w:rFonts w:hint="eastAsia" w:eastAsia="宋体"/>
                      <w:color w:val="auto"/>
                      <w:highlight w:val="none"/>
                      <w:lang w:eastAsia="zh-CN"/>
                    </w:rPr>
                  </w:pPr>
                  <w:r>
                    <w:rPr>
                      <w:rFonts w:hint="eastAsia"/>
                      <w:color w:val="auto"/>
                      <w:highlight w:val="none"/>
                    </w:rPr>
                    <w:t>本项目不涉及</w:t>
                  </w:r>
                  <w:r>
                    <w:rPr>
                      <w:color w:val="auto"/>
                      <w:highlight w:val="none"/>
                    </w:rPr>
                    <w:t>水生生物的洄游通道及“</w:t>
                  </w:r>
                  <w:r>
                    <w:rPr>
                      <w:rFonts w:hint="eastAsia"/>
                      <w:color w:val="auto"/>
                      <w:highlight w:val="none"/>
                    </w:rPr>
                    <w:t>鱼类</w:t>
                  </w:r>
                  <w:r>
                    <w:rPr>
                      <w:color w:val="auto"/>
                      <w:highlight w:val="none"/>
                    </w:rPr>
                    <w:t>三场”等重要</w:t>
                  </w:r>
                  <w:r>
                    <w:rPr>
                      <w:rFonts w:hint="eastAsia"/>
                      <w:color w:val="auto"/>
                      <w:highlight w:val="none"/>
                    </w:rPr>
                    <w:t>生态环境</w:t>
                  </w:r>
                  <w:r>
                    <w:rPr>
                      <w:rFonts w:hint="eastAsia"/>
                      <w:color w:val="auto"/>
                      <w:highlight w:val="none"/>
                      <w:lang w:eastAsia="zh-CN"/>
                    </w:rPr>
                    <w:t>。</w:t>
                  </w:r>
                </w:p>
              </w:tc>
              <w:tc>
                <w:tcPr>
                  <w:tcW w:w="318" w:type="pct"/>
                  <w:vAlign w:val="center"/>
                </w:tcPr>
                <w:p w14:paraId="20EA4747">
                  <w:pPr>
                    <w:pStyle w:val="51"/>
                    <w:rPr>
                      <w:color w:val="auto"/>
                      <w:highlight w:val="none"/>
                    </w:rPr>
                  </w:pPr>
                  <w:r>
                    <w:rPr>
                      <w:rFonts w:hint="eastAsia"/>
                      <w:color w:val="auto"/>
                      <w:highlight w:val="none"/>
                    </w:rPr>
                    <w:t>符合</w:t>
                  </w:r>
                </w:p>
              </w:tc>
            </w:tr>
            <w:tr w14:paraId="05C82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05161DDC">
                  <w:pPr>
                    <w:pStyle w:val="51"/>
                    <w:jc w:val="both"/>
                    <w:rPr>
                      <w:color w:val="auto"/>
                      <w:highlight w:val="none"/>
                    </w:rPr>
                  </w:pPr>
                  <w:r>
                    <w:rPr>
                      <w:color w:val="auto"/>
                      <w:highlight w:val="none"/>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r>
                    <w:rPr>
                      <w:rFonts w:hint="eastAsia"/>
                      <w:color w:val="auto"/>
                      <w:highlight w:val="none"/>
                    </w:rPr>
                    <w:t>在采取上述措施后，施工期的不利环境影响能够得到缓解和控制，不会对周围环境和敏感保护目标造成重大不利影响。</w:t>
                  </w:r>
                </w:p>
              </w:tc>
              <w:tc>
                <w:tcPr>
                  <w:tcW w:w="2097" w:type="pct"/>
                  <w:vAlign w:val="center"/>
                </w:tcPr>
                <w:p w14:paraId="397B0001">
                  <w:pPr>
                    <w:pStyle w:val="51"/>
                    <w:jc w:val="both"/>
                    <w:rPr>
                      <w:color w:val="auto"/>
                      <w:highlight w:val="none"/>
                    </w:rPr>
                  </w:pPr>
                  <w:r>
                    <w:rPr>
                      <w:rFonts w:hint="eastAsia"/>
                      <w:color w:val="auto"/>
                      <w:highlight w:val="none"/>
                    </w:rPr>
                    <w:t>本项目不设置弃土场</w:t>
                  </w:r>
                  <w:r>
                    <w:rPr>
                      <w:color w:val="auto"/>
                      <w:highlight w:val="none"/>
                    </w:rPr>
                    <w:t>。</w:t>
                  </w:r>
                  <w:r>
                    <w:rPr>
                      <w:rFonts w:hint="eastAsia"/>
                      <w:color w:val="auto"/>
                      <w:highlight w:val="none"/>
                    </w:rPr>
                    <w:t>项目实施</w:t>
                  </w:r>
                  <w:r>
                    <w:rPr>
                      <w:color w:val="auto"/>
                      <w:highlight w:val="none"/>
                    </w:rPr>
                    <w:t>对施工期各类废（污）水、扬尘、废气、噪声、固体废物等提出了防治或处置措施。</w:t>
                  </w:r>
                  <w:r>
                    <w:rPr>
                      <w:rFonts w:hint="eastAsia"/>
                      <w:color w:val="auto"/>
                      <w:highlight w:val="none"/>
                    </w:rPr>
                    <w:t>在采取报告提出的固体废物处置方案、其他生态环境避让、生态恢复措施后，施工期的不利环境影响能够得到缓解和控制，不会对周围环境和敏感保护目标造成重大不利影响。本项目护岸工程不涉及涉水施工，不涉及饮用水源保护区或取水口，对鱼类等水生生物及其生境提出了优化施工时序，精细化施工，将施工对水域的影响降至最低，采用低噪音设备进行施工，减缓施工活动对鱼类的干扰。本项目不涉及清淤及疏浚。</w:t>
                  </w:r>
                </w:p>
              </w:tc>
              <w:tc>
                <w:tcPr>
                  <w:tcW w:w="318" w:type="pct"/>
                  <w:vAlign w:val="center"/>
                </w:tcPr>
                <w:p w14:paraId="0BA77DA1">
                  <w:pPr>
                    <w:pStyle w:val="51"/>
                    <w:rPr>
                      <w:color w:val="auto"/>
                      <w:highlight w:val="none"/>
                    </w:rPr>
                  </w:pPr>
                  <w:r>
                    <w:rPr>
                      <w:rFonts w:hint="eastAsia"/>
                      <w:color w:val="auto"/>
                      <w:highlight w:val="none"/>
                    </w:rPr>
                    <w:t>符合</w:t>
                  </w:r>
                </w:p>
              </w:tc>
            </w:tr>
            <w:tr w14:paraId="2B33E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02DF436D">
                  <w:pPr>
                    <w:pStyle w:val="51"/>
                    <w:jc w:val="both"/>
                    <w:rPr>
                      <w:color w:val="auto"/>
                      <w:highlight w:val="none"/>
                    </w:rPr>
                  </w:pPr>
                  <w:r>
                    <w:rPr>
                      <w:rFonts w:hint="eastAsia"/>
                      <w:color w:val="auto"/>
                      <w:highlight w:val="none"/>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p w14:paraId="33E2CC7A">
                  <w:pPr>
                    <w:pStyle w:val="51"/>
                    <w:jc w:val="both"/>
                    <w:rPr>
                      <w:color w:val="auto"/>
                      <w:highlight w:val="none"/>
                    </w:rPr>
                  </w:pPr>
                  <w:r>
                    <w:rPr>
                      <w:rFonts w:hint="eastAsia"/>
                      <w:color w:val="auto"/>
                      <w:highlight w:val="none"/>
                    </w:rPr>
                    <w:t>在采取上述措施后，对湿地以及陆生动植物的不利影响能够得到缓解和控制，与区域景观相协调，不会造成原有珍稀濒危保护动物植物在相关区域消失，不会对陆生生态系统造成重大不利影响。</w:t>
                  </w:r>
                </w:p>
              </w:tc>
              <w:tc>
                <w:tcPr>
                  <w:tcW w:w="2097" w:type="pct"/>
                  <w:vAlign w:val="center"/>
                </w:tcPr>
                <w:p w14:paraId="6F8FA894">
                  <w:pPr>
                    <w:pStyle w:val="51"/>
                    <w:jc w:val="both"/>
                    <w:rPr>
                      <w:color w:val="auto"/>
                      <w:highlight w:val="none"/>
                    </w:rPr>
                  </w:pPr>
                  <w:r>
                    <w:rPr>
                      <w:rFonts w:hint="eastAsia"/>
                      <w:color w:val="auto"/>
                      <w:highlight w:val="none"/>
                    </w:rPr>
                    <w:t>本项目未对湿地生态系统结构和功能、河湖生态缓冲带造成不利影响。未对珍稀濒危保护植物造成不利影响。</w:t>
                  </w:r>
                </w:p>
              </w:tc>
              <w:tc>
                <w:tcPr>
                  <w:tcW w:w="318" w:type="pct"/>
                  <w:vAlign w:val="center"/>
                </w:tcPr>
                <w:p w14:paraId="66AFD1F8">
                  <w:pPr>
                    <w:pStyle w:val="51"/>
                    <w:rPr>
                      <w:color w:val="auto"/>
                      <w:highlight w:val="none"/>
                    </w:rPr>
                  </w:pPr>
                  <w:r>
                    <w:rPr>
                      <w:rFonts w:hint="eastAsia"/>
                      <w:color w:val="auto"/>
                      <w:highlight w:val="none"/>
                    </w:rPr>
                    <w:t>符合</w:t>
                  </w:r>
                </w:p>
              </w:tc>
            </w:tr>
            <w:tr w14:paraId="530EDF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2E68D281">
                  <w:pPr>
                    <w:pStyle w:val="51"/>
                    <w:jc w:val="both"/>
                    <w:rPr>
                      <w:color w:val="auto"/>
                      <w:highlight w:val="none"/>
                    </w:rPr>
                  </w:pPr>
                  <w:r>
                    <w:rPr>
                      <w:rFonts w:hint="eastAsia"/>
                      <w:color w:val="auto"/>
                      <w:highlight w:val="none"/>
                    </w:rPr>
                    <w:t>项目存在河湖水质污染、富营养化或外来物种入侵等环境风险的，提出了针对性的风险防范措施以及环境应急预案编制.建立必要的应急联动机制等要求。</w:t>
                  </w:r>
                </w:p>
              </w:tc>
              <w:tc>
                <w:tcPr>
                  <w:tcW w:w="2097" w:type="pct"/>
                  <w:vAlign w:val="center"/>
                </w:tcPr>
                <w:p w14:paraId="3349F996">
                  <w:pPr>
                    <w:pStyle w:val="51"/>
                    <w:jc w:val="both"/>
                    <w:rPr>
                      <w:color w:val="auto"/>
                      <w:highlight w:val="none"/>
                    </w:rPr>
                  </w:pPr>
                  <w:r>
                    <w:rPr>
                      <w:rFonts w:hint="eastAsia"/>
                      <w:color w:val="auto"/>
                      <w:highlight w:val="none"/>
                    </w:rPr>
                    <w:t>本项目不存在河湖水质污染、富营养化或外来物种入侵等环境风险。</w:t>
                  </w:r>
                </w:p>
              </w:tc>
              <w:tc>
                <w:tcPr>
                  <w:tcW w:w="318" w:type="pct"/>
                  <w:vAlign w:val="center"/>
                </w:tcPr>
                <w:p w14:paraId="02541398">
                  <w:pPr>
                    <w:pStyle w:val="51"/>
                    <w:rPr>
                      <w:color w:val="auto"/>
                      <w:highlight w:val="none"/>
                    </w:rPr>
                  </w:pPr>
                  <w:r>
                    <w:rPr>
                      <w:rFonts w:hint="eastAsia"/>
                      <w:color w:val="auto"/>
                      <w:highlight w:val="none"/>
                    </w:rPr>
                    <w:t>符合</w:t>
                  </w:r>
                </w:p>
              </w:tc>
            </w:tr>
            <w:tr w14:paraId="061F6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0D3AB481">
                  <w:pPr>
                    <w:pStyle w:val="51"/>
                    <w:jc w:val="both"/>
                    <w:rPr>
                      <w:color w:val="auto"/>
                      <w:highlight w:val="none"/>
                    </w:rPr>
                  </w:pPr>
                  <w:r>
                    <w:rPr>
                      <w:rFonts w:hint="eastAsia"/>
                      <w:color w:val="auto"/>
                      <w:highlight w:val="none"/>
                    </w:rPr>
                    <w:t>项目移民安置的选址和建设方式具有环境合理性，提出了生态保护、污水处理、固体废物处置等措施。针对蓄滞洪区的环境污染、新增占地涉及污染场地等，提出了环境管理对策建议。</w:t>
                  </w:r>
                </w:p>
              </w:tc>
              <w:tc>
                <w:tcPr>
                  <w:tcW w:w="2097" w:type="pct"/>
                  <w:vAlign w:val="center"/>
                </w:tcPr>
                <w:p w14:paraId="16B293D9">
                  <w:pPr>
                    <w:pStyle w:val="51"/>
                    <w:jc w:val="both"/>
                    <w:rPr>
                      <w:color w:val="auto"/>
                      <w:highlight w:val="none"/>
                    </w:rPr>
                  </w:pPr>
                  <w:r>
                    <w:rPr>
                      <w:rFonts w:cs="Times New Roman"/>
                      <w:color w:val="auto"/>
                      <w:highlight w:val="none"/>
                    </w:rPr>
                    <w:t>本项目不涉及移民安置和蓄滞洪区等建设内容。</w:t>
                  </w:r>
                </w:p>
              </w:tc>
              <w:tc>
                <w:tcPr>
                  <w:tcW w:w="318" w:type="pct"/>
                  <w:vAlign w:val="center"/>
                </w:tcPr>
                <w:p w14:paraId="36F6C03D">
                  <w:pPr>
                    <w:pStyle w:val="51"/>
                    <w:rPr>
                      <w:color w:val="auto"/>
                      <w:highlight w:val="none"/>
                    </w:rPr>
                  </w:pPr>
                  <w:r>
                    <w:rPr>
                      <w:rFonts w:hint="eastAsia"/>
                      <w:color w:val="auto"/>
                      <w:highlight w:val="none"/>
                    </w:rPr>
                    <w:t>符合</w:t>
                  </w:r>
                </w:p>
              </w:tc>
            </w:tr>
            <w:tr w14:paraId="1F38A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7D780AC4">
                  <w:pPr>
                    <w:pStyle w:val="51"/>
                    <w:jc w:val="both"/>
                    <w:rPr>
                      <w:color w:val="auto"/>
                      <w:highlight w:val="none"/>
                    </w:rPr>
                  </w:pPr>
                  <w:r>
                    <w:rPr>
                      <w:rFonts w:hint="eastAsia"/>
                      <w:color w:val="auto"/>
                      <w:highlight w:val="none"/>
                    </w:rPr>
                    <w:t>对环境保护措施进行了深入论证，建设单位主体责任、投资估算、时间节点、预期效果明确，确保科学有效、安全可行、绿色协调。</w:t>
                  </w:r>
                </w:p>
              </w:tc>
              <w:tc>
                <w:tcPr>
                  <w:tcW w:w="2097" w:type="pct"/>
                  <w:vAlign w:val="center"/>
                </w:tcPr>
                <w:p w14:paraId="23B2C418">
                  <w:pPr>
                    <w:pStyle w:val="51"/>
                    <w:jc w:val="both"/>
                    <w:rPr>
                      <w:color w:val="auto"/>
                      <w:highlight w:val="none"/>
                    </w:rPr>
                  </w:pPr>
                  <w:r>
                    <w:rPr>
                      <w:rFonts w:hint="eastAsia"/>
                      <w:color w:val="auto"/>
                      <w:highlight w:val="none"/>
                    </w:rPr>
                    <w:t>本项目对环境保护措施进行了深入论证，建设单位主体责任、投资估算、时间节点、预期效果明确，确保科学有效、安全可行、绿色协调。</w:t>
                  </w:r>
                </w:p>
              </w:tc>
              <w:tc>
                <w:tcPr>
                  <w:tcW w:w="318" w:type="pct"/>
                  <w:vAlign w:val="center"/>
                </w:tcPr>
                <w:p w14:paraId="26D80A36">
                  <w:pPr>
                    <w:pStyle w:val="51"/>
                    <w:rPr>
                      <w:color w:val="auto"/>
                      <w:highlight w:val="none"/>
                    </w:rPr>
                  </w:pPr>
                  <w:r>
                    <w:rPr>
                      <w:rFonts w:hint="eastAsia"/>
                      <w:color w:val="auto"/>
                      <w:highlight w:val="none"/>
                    </w:rPr>
                    <w:t>符合</w:t>
                  </w:r>
                </w:p>
              </w:tc>
            </w:tr>
            <w:tr w14:paraId="47A0C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pct"/>
                  <w:vAlign w:val="center"/>
                </w:tcPr>
                <w:p w14:paraId="75D5D812">
                  <w:pPr>
                    <w:pStyle w:val="51"/>
                    <w:jc w:val="both"/>
                    <w:rPr>
                      <w:color w:val="auto"/>
                      <w:highlight w:val="none"/>
                    </w:rPr>
                  </w:pPr>
                  <w:r>
                    <w:rPr>
                      <w:color w:val="auto"/>
                      <w:highlight w:val="none"/>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2097" w:type="pct"/>
                  <w:vAlign w:val="center"/>
                </w:tcPr>
                <w:p w14:paraId="630EA1B0">
                  <w:pPr>
                    <w:pStyle w:val="51"/>
                    <w:jc w:val="both"/>
                    <w:rPr>
                      <w:color w:val="auto"/>
                      <w:highlight w:val="none"/>
                    </w:rPr>
                  </w:pPr>
                  <w:r>
                    <w:rPr>
                      <w:color w:val="auto"/>
                      <w:highlight w:val="none"/>
                    </w:rPr>
                    <w:t>制定了</w:t>
                  </w:r>
                  <w:r>
                    <w:rPr>
                      <w:rFonts w:hint="eastAsia"/>
                      <w:color w:val="auto"/>
                      <w:highlight w:val="none"/>
                    </w:rPr>
                    <w:t>大气</w:t>
                  </w:r>
                  <w:r>
                    <w:rPr>
                      <w:color w:val="auto"/>
                      <w:highlight w:val="none"/>
                    </w:rPr>
                    <w:t>环境、</w:t>
                  </w:r>
                  <w:r>
                    <w:rPr>
                      <w:rFonts w:hint="eastAsia"/>
                      <w:color w:val="auto"/>
                      <w:highlight w:val="none"/>
                    </w:rPr>
                    <w:t>声</w:t>
                  </w:r>
                  <w:r>
                    <w:rPr>
                      <w:color w:val="auto"/>
                      <w:highlight w:val="none"/>
                    </w:rPr>
                    <w:t>环境</w:t>
                  </w:r>
                  <w:r>
                    <w:rPr>
                      <w:rFonts w:hint="eastAsia"/>
                      <w:color w:val="auto"/>
                      <w:highlight w:val="none"/>
                    </w:rPr>
                    <w:t>、水环境</w:t>
                  </w:r>
                  <w:r>
                    <w:rPr>
                      <w:color w:val="auto"/>
                      <w:highlight w:val="none"/>
                    </w:rPr>
                    <w:t>监测计划，明确了监测网点、因子、频次等有关要求</w:t>
                  </w:r>
                  <w:r>
                    <w:rPr>
                      <w:rFonts w:hint="eastAsia"/>
                      <w:color w:val="auto"/>
                      <w:highlight w:val="none"/>
                    </w:rPr>
                    <w:t>。</w:t>
                  </w:r>
                </w:p>
              </w:tc>
              <w:tc>
                <w:tcPr>
                  <w:tcW w:w="318" w:type="pct"/>
                  <w:vAlign w:val="center"/>
                </w:tcPr>
                <w:p w14:paraId="05E1C979">
                  <w:pPr>
                    <w:pStyle w:val="51"/>
                    <w:rPr>
                      <w:color w:val="auto"/>
                      <w:highlight w:val="none"/>
                    </w:rPr>
                  </w:pPr>
                  <w:r>
                    <w:rPr>
                      <w:rFonts w:hint="eastAsia"/>
                      <w:color w:val="auto"/>
                      <w:highlight w:val="none"/>
                    </w:rPr>
                    <w:t>符合</w:t>
                  </w:r>
                </w:p>
              </w:tc>
            </w:tr>
          </w:tbl>
          <w:p w14:paraId="78B5B07C">
            <w:pPr>
              <w:pStyle w:val="56"/>
              <w:ind w:firstLine="420"/>
              <w:rPr>
                <w:b/>
                <w:bCs/>
                <w:color w:val="auto"/>
                <w:highlight w:val="none"/>
              </w:rPr>
            </w:pPr>
            <w:r>
              <w:rPr>
                <w:rFonts w:hint="eastAsia"/>
                <w:b/>
                <w:bCs/>
                <w:color w:val="auto"/>
                <w:highlight w:val="none"/>
                <w:lang w:val="en-US" w:eastAsia="zh-CN"/>
              </w:rPr>
              <w:t>四</w:t>
            </w:r>
            <w:r>
              <w:rPr>
                <w:rFonts w:hint="eastAsia"/>
                <w:b/>
                <w:bCs/>
                <w:color w:val="auto"/>
                <w:highlight w:val="none"/>
              </w:rPr>
              <w:t>、与《黑龙江省水土保持规划》（2015-2030）的符合性分析</w:t>
            </w:r>
          </w:p>
          <w:p w14:paraId="0FD3BFAC">
            <w:pPr>
              <w:pStyle w:val="56"/>
              <w:ind w:firstLine="420"/>
              <w:rPr>
                <w:color w:val="auto"/>
                <w:highlight w:val="none"/>
              </w:rPr>
            </w:pPr>
            <w:r>
              <w:rPr>
                <w:rFonts w:hint="eastAsia"/>
                <w:color w:val="auto"/>
                <w:highlight w:val="none"/>
              </w:rPr>
              <w:t>本工程位于</w:t>
            </w:r>
            <w:r>
              <w:rPr>
                <w:rFonts w:hint="eastAsia"/>
                <w:color w:val="auto"/>
                <w:highlight w:val="none"/>
                <w:lang w:val="en-US" w:eastAsia="zh-CN"/>
              </w:rPr>
              <w:t>双鸭山市饶河县</w:t>
            </w:r>
            <w:r>
              <w:rPr>
                <w:rFonts w:hint="eastAsia"/>
                <w:color w:val="auto"/>
                <w:highlight w:val="none"/>
              </w:rPr>
              <w:t>，根据黑龙江省水土保持规划（2015-2030年），水土保持区划为</w:t>
            </w:r>
            <w:r>
              <w:rPr>
                <w:rFonts w:hint="eastAsia"/>
                <w:color w:val="auto"/>
                <w:highlight w:val="none"/>
                <w:lang w:eastAsia="zh-CN"/>
              </w:rPr>
              <w:t>三江平原-兴凯湖生态维护农田防护区</w:t>
            </w:r>
            <w:r>
              <w:rPr>
                <w:rFonts w:hint="eastAsia"/>
                <w:color w:val="auto"/>
                <w:highlight w:val="none"/>
              </w:rPr>
              <w:t>（I-</w:t>
            </w:r>
            <w:r>
              <w:rPr>
                <w:rFonts w:hint="eastAsia"/>
                <w:color w:val="auto"/>
                <w:highlight w:val="none"/>
                <w:lang w:val="en-US" w:eastAsia="zh-CN"/>
              </w:rPr>
              <w:t>2</w:t>
            </w:r>
            <w:r>
              <w:rPr>
                <w:rFonts w:hint="eastAsia"/>
                <w:color w:val="auto"/>
                <w:highlight w:val="none"/>
              </w:rPr>
              <w:t>-1</w:t>
            </w:r>
            <w:r>
              <w:rPr>
                <w:rFonts w:hint="eastAsia"/>
                <w:color w:val="auto"/>
                <w:highlight w:val="none"/>
                <w:lang w:val="en-US" w:eastAsia="zh-CN"/>
              </w:rPr>
              <w:t>wn</w:t>
            </w:r>
            <w:r>
              <w:rPr>
                <w:rFonts w:hint="eastAsia"/>
                <w:color w:val="auto"/>
                <w:highlight w:val="none"/>
              </w:rPr>
              <w:t>）。</w:t>
            </w:r>
          </w:p>
          <w:p w14:paraId="5911D4E3">
            <w:pPr>
              <w:pStyle w:val="56"/>
              <w:ind w:firstLine="420"/>
              <w:rPr>
                <w:color w:val="auto"/>
                <w:highlight w:val="none"/>
              </w:rPr>
            </w:pPr>
            <w:r>
              <w:rPr>
                <w:rFonts w:hint="eastAsia"/>
                <w:color w:val="auto"/>
                <w:highlight w:val="none"/>
              </w:rPr>
              <w:t>主导基础功能及社会经济功能：</w:t>
            </w:r>
          </w:p>
          <w:p w14:paraId="2ACAFBDC">
            <w:pPr>
              <w:pStyle w:val="56"/>
              <w:ind w:firstLine="420"/>
              <w:rPr>
                <w:color w:val="auto"/>
                <w:highlight w:val="none"/>
              </w:rPr>
            </w:pPr>
            <w:r>
              <w:rPr>
                <w:rFonts w:hint="eastAsia"/>
                <w:color w:val="auto"/>
                <w:highlight w:val="none"/>
              </w:rPr>
              <w:t>本区水土保持主导基础功能为生态维护、农田防护、蓄水保水;社会经济功能为农业林业生产、生物多样性保护、河湖源区保护、自然景观保护、河湖边岸保护。</w:t>
            </w:r>
          </w:p>
          <w:p w14:paraId="164C2A82">
            <w:pPr>
              <w:pStyle w:val="56"/>
              <w:ind w:firstLine="420"/>
              <w:rPr>
                <w:color w:val="FF0000"/>
                <w:highlight w:val="none"/>
              </w:rPr>
            </w:pPr>
            <w:r>
              <w:rPr>
                <w:rFonts w:hint="eastAsia"/>
                <w:color w:val="auto"/>
                <w:highlight w:val="none"/>
              </w:rPr>
              <w:t>水土流失现状如下：本区</w:t>
            </w:r>
            <w:r>
              <w:rPr>
                <w:rFonts w:hint="eastAsia"/>
                <w:color w:val="auto"/>
                <w:highlight w:val="none"/>
                <w:lang w:val="en-US" w:eastAsia="zh-CN"/>
              </w:rPr>
              <w:t>包括富锦市等11个市（县、区），</w:t>
            </w:r>
            <w:r>
              <w:rPr>
                <w:rFonts w:hint="eastAsia"/>
                <w:color w:val="auto"/>
                <w:highlight w:val="none"/>
              </w:rPr>
              <w:t>区域总面积</w:t>
            </w:r>
            <w:r>
              <w:rPr>
                <w:rFonts w:hint="eastAsia"/>
                <w:color w:val="auto"/>
                <w:highlight w:val="none"/>
                <w:lang w:eastAsia="zh-CN"/>
              </w:rPr>
              <w:t>64240.98</w:t>
            </w:r>
            <w:r>
              <w:rPr>
                <w:rFonts w:hint="eastAsia"/>
                <w:color w:val="auto"/>
                <w:highlight w:val="none"/>
              </w:rPr>
              <w:t>km</w:t>
            </w:r>
            <w:r>
              <w:rPr>
                <w:rFonts w:hint="eastAsia"/>
                <w:color w:val="auto"/>
                <w:highlight w:val="none"/>
                <w:vertAlign w:val="superscript"/>
              </w:rPr>
              <w:t>2</w:t>
            </w:r>
            <w:r>
              <w:rPr>
                <w:rFonts w:hint="eastAsia"/>
                <w:color w:val="auto"/>
                <w:highlight w:val="none"/>
              </w:rPr>
              <w:t>，其中耕地面积</w:t>
            </w:r>
            <w:r>
              <w:rPr>
                <w:rFonts w:hint="eastAsia"/>
                <w:color w:val="auto"/>
                <w:highlight w:val="none"/>
                <w:lang w:eastAsia="zh-CN"/>
              </w:rPr>
              <w:t>33908.44</w:t>
            </w:r>
            <w:r>
              <w:rPr>
                <w:rFonts w:hint="eastAsia"/>
                <w:color w:val="auto"/>
                <w:highlight w:val="none"/>
              </w:rPr>
              <w:t>km</w:t>
            </w:r>
            <w:r>
              <w:rPr>
                <w:rFonts w:hint="eastAsia"/>
                <w:color w:val="auto"/>
                <w:highlight w:val="none"/>
                <w:vertAlign w:val="superscript"/>
              </w:rPr>
              <w:t>2</w:t>
            </w:r>
            <w:r>
              <w:rPr>
                <w:rFonts w:hint="eastAsia"/>
                <w:color w:val="auto"/>
                <w:highlight w:val="none"/>
              </w:rPr>
              <w:t>，林地面积</w:t>
            </w:r>
            <w:r>
              <w:rPr>
                <w:rFonts w:hint="eastAsia"/>
                <w:color w:val="auto"/>
                <w:highlight w:val="none"/>
                <w:lang w:eastAsia="zh-CN"/>
              </w:rPr>
              <w:t>16524.60</w:t>
            </w:r>
            <w:r>
              <w:rPr>
                <w:rFonts w:hint="eastAsia"/>
                <w:color w:val="auto"/>
                <w:highlight w:val="none"/>
              </w:rPr>
              <w:t>km</w:t>
            </w:r>
            <w:r>
              <w:rPr>
                <w:rFonts w:hint="eastAsia"/>
                <w:color w:val="auto"/>
                <w:highlight w:val="none"/>
                <w:vertAlign w:val="superscript"/>
              </w:rPr>
              <w:t>2</w:t>
            </w:r>
            <w:r>
              <w:rPr>
                <w:rFonts w:hint="eastAsia"/>
                <w:color w:val="auto"/>
                <w:highlight w:val="none"/>
              </w:rPr>
              <w:t>。区域总人口</w:t>
            </w:r>
            <w:r>
              <w:rPr>
                <w:rFonts w:hint="eastAsia"/>
                <w:color w:val="auto"/>
                <w:highlight w:val="none"/>
                <w:lang w:val="en-US" w:eastAsia="zh-CN"/>
              </w:rPr>
              <w:t>281.14</w:t>
            </w:r>
            <w:r>
              <w:rPr>
                <w:rFonts w:hint="eastAsia"/>
                <w:color w:val="auto"/>
                <w:highlight w:val="none"/>
              </w:rPr>
              <w:t>万人，人均耕地</w:t>
            </w:r>
            <w:r>
              <w:rPr>
                <w:rFonts w:hint="eastAsia"/>
                <w:color w:val="auto"/>
                <w:highlight w:val="none"/>
                <w:lang w:val="en-US" w:eastAsia="zh-CN"/>
              </w:rPr>
              <w:t>1.21</w:t>
            </w:r>
            <w:r>
              <w:rPr>
                <w:rFonts w:hint="eastAsia"/>
                <w:color w:val="auto"/>
                <w:highlight w:val="none"/>
              </w:rPr>
              <w:t>hm</w:t>
            </w:r>
            <w:r>
              <w:rPr>
                <w:rFonts w:hint="eastAsia"/>
                <w:color w:val="auto"/>
                <w:highlight w:val="none"/>
                <w:vertAlign w:val="superscript"/>
              </w:rPr>
              <w:t>2</w:t>
            </w:r>
            <w:r>
              <w:rPr>
                <w:rFonts w:hint="eastAsia"/>
                <w:color w:val="auto"/>
                <w:highlight w:val="none"/>
              </w:rPr>
              <w:t>，农村各业生产总值</w:t>
            </w:r>
            <w:r>
              <w:rPr>
                <w:rFonts w:hint="eastAsia"/>
                <w:color w:val="auto"/>
                <w:highlight w:val="none"/>
                <w:lang w:val="en-US" w:eastAsia="zh-CN"/>
              </w:rPr>
              <w:t>513.6877</w:t>
            </w:r>
            <w:r>
              <w:rPr>
                <w:rFonts w:hint="eastAsia"/>
                <w:color w:val="auto"/>
                <w:highlight w:val="none"/>
              </w:rPr>
              <w:t>亿元。</w:t>
            </w:r>
          </w:p>
          <w:p w14:paraId="651E1114">
            <w:pPr>
              <w:pStyle w:val="56"/>
              <w:ind w:firstLine="420"/>
              <w:rPr>
                <w:color w:val="FF0000"/>
                <w:highlight w:val="none"/>
              </w:rPr>
            </w:pPr>
            <w:r>
              <w:rPr>
                <w:rFonts w:hint="eastAsia"/>
                <w:color w:val="auto"/>
                <w:highlight w:val="none"/>
              </w:rPr>
              <w:t>本区水土流失类型为水力侵蚀，水土流失面积</w:t>
            </w:r>
            <w:r>
              <w:rPr>
                <w:rFonts w:hint="eastAsia"/>
                <w:color w:val="auto"/>
                <w:highlight w:val="none"/>
                <w:lang w:val="en-US" w:eastAsia="zh-CN"/>
              </w:rPr>
              <w:t>6458</w:t>
            </w:r>
            <w:r>
              <w:rPr>
                <w:rFonts w:hint="eastAsia"/>
                <w:color w:val="auto"/>
                <w:highlight w:val="none"/>
              </w:rPr>
              <w:t>km</w:t>
            </w:r>
            <w:r>
              <w:rPr>
                <w:rFonts w:hint="eastAsia"/>
                <w:color w:val="auto"/>
                <w:highlight w:val="none"/>
                <w:vertAlign w:val="superscript"/>
              </w:rPr>
              <w:t>2</w:t>
            </w:r>
            <w:r>
              <w:rPr>
                <w:rFonts w:hint="eastAsia"/>
                <w:color w:val="auto"/>
                <w:highlight w:val="none"/>
              </w:rPr>
              <w:t>，占区域总面积的</w:t>
            </w:r>
            <w:r>
              <w:rPr>
                <w:rFonts w:hint="eastAsia"/>
                <w:color w:val="auto"/>
                <w:highlight w:val="none"/>
                <w:lang w:val="en-US" w:eastAsia="zh-CN"/>
              </w:rPr>
              <w:t>10.1</w:t>
            </w:r>
            <w:r>
              <w:rPr>
                <w:rFonts w:hint="eastAsia"/>
                <w:color w:val="auto"/>
                <w:highlight w:val="none"/>
              </w:rPr>
              <w:t>%，其中轻度侵蚀</w:t>
            </w:r>
            <w:r>
              <w:rPr>
                <w:rFonts w:hint="eastAsia"/>
                <w:color w:val="auto"/>
                <w:highlight w:val="none"/>
                <w:lang w:val="en-US" w:eastAsia="zh-CN"/>
              </w:rPr>
              <w:t>1806</w:t>
            </w:r>
            <w:r>
              <w:rPr>
                <w:rFonts w:hint="eastAsia"/>
                <w:color w:val="auto"/>
                <w:highlight w:val="none"/>
              </w:rPr>
              <w:t>km</w:t>
            </w:r>
            <w:r>
              <w:rPr>
                <w:rFonts w:hint="eastAsia"/>
                <w:color w:val="auto"/>
                <w:highlight w:val="none"/>
                <w:vertAlign w:val="superscript"/>
              </w:rPr>
              <w:t>2</w:t>
            </w:r>
            <w:r>
              <w:rPr>
                <w:rFonts w:hint="eastAsia"/>
                <w:color w:val="auto"/>
                <w:highlight w:val="none"/>
              </w:rPr>
              <w:t>，中度侵蚀</w:t>
            </w:r>
            <w:r>
              <w:rPr>
                <w:rFonts w:hint="eastAsia"/>
                <w:color w:val="auto"/>
                <w:highlight w:val="none"/>
                <w:lang w:val="en-US" w:eastAsia="zh-CN"/>
              </w:rPr>
              <w:t>1315</w:t>
            </w:r>
            <w:r>
              <w:rPr>
                <w:rFonts w:hint="eastAsia"/>
                <w:color w:val="auto"/>
                <w:highlight w:val="none"/>
              </w:rPr>
              <w:t>km</w:t>
            </w:r>
            <w:r>
              <w:rPr>
                <w:rFonts w:hint="eastAsia"/>
                <w:color w:val="auto"/>
                <w:highlight w:val="none"/>
                <w:vertAlign w:val="superscript"/>
              </w:rPr>
              <w:t>2</w:t>
            </w:r>
            <w:r>
              <w:rPr>
                <w:rFonts w:hint="eastAsia"/>
                <w:color w:val="auto"/>
                <w:highlight w:val="none"/>
              </w:rPr>
              <w:t>，强烈侵蚀4</w:t>
            </w:r>
            <w:r>
              <w:rPr>
                <w:rFonts w:hint="eastAsia"/>
                <w:color w:val="auto"/>
                <w:highlight w:val="none"/>
                <w:lang w:val="en-US" w:eastAsia="zh-CN"/>
              </w:rPr>
              <w:t>33</w:t>
            </w:r>
            <w:r>
              <w:rPr>
                <w:rFonts w:hint="eastAsia"/>
                <w:color w:val="auto"/>
                <w:highlight w:val="none"/>
              </w:rPr>
              <w:t>km</w:t>
            </w:r>
            <w:r>
              <w:rPr>
                <w:rFonts w:hint="eastAsia"/>
                <w:color w:val="auto"/>
                <w:highlight w:val="none"/>
                <w:vertAlign w:val="superscript"/>
              </w:rPr>
              <w:t>2</w:t>
            </w:r>
            <w:r>
              <w:rPr>
                <w:rFonts w:hint="eastAsia"/>
                <w:color w:val="auto"/>
                <w:highlight w:val="none"/>
              </w:rPr>
              <w:t>，极强烈侵蚀</w:t>
            </w:r>
            <w:r>
              <w:rPr>
                <w:rFonts w:hint="eastAsia"/>
                <w:color w:val="auto"/>
                <w:highlight w:val="none"/>
                <w:lang w:val="en-US" w:eastAsia="zh-CN"/>
              </w:rPr>
              <w:t>122</w:t>
            </w:r>
            <w:r>
              <w:rPr>
                <w:rFonts w:hint="eastAsia"/>
                <w:color w:val="auto"/>
                <w:highlight w:val="none"/>
              </w:rPr>
              <w:t>km</w:t>
            </w:r>
            <w:r>
              <w:rPr>
                <w:rFonts w:hint="eastAsia"/>
                <w:color w:val="auto"/>
                <w:highlight w:val="none"/>
                <w:vertAlign w:val="superscript"/>
              </w:rPr>
              <w:t>2</w:t>
            </w:r>
            <w:r>
              <w:rPr>
                <w:rFonts w:hint="eastAsia"/>
                <w:color w:val="auto"/>
                <w:highlight w:val="none"/>
              </w:rPr>
              <w:t>，剧烈侵蚀</w:t>
            </w:r>
            <w:r>
              <w:rPr>
                <w:rFonts w:hint="eastAsia"/>
                <w:color w:val="auto"/>
                <w:highlight w:val="none"/>
                <w:lang w:val="en-US" w:eastAsia="zh-CN"/>
              </w:rPr>
              <w:t>2781</w:t>
            </w:r>
            <w:r>
              <w:rPr>
                <w:rFonts w:hint="eastAsia"/>
                <w:color w:val="auto"/>
                <w:highlight w:val="none"/>
              </w:rPr>
              <w:t>km</w:t>
            </w:r>
            <w:r>
              <w:rPr>
                <w:rFonts w:hint="eastAsia"/>
                <w:color w:val="auto"/>
                <w:highlight w:val="none"/>
                <w:vertAlign w:val="superscript"/>
              </w:rPr>
              <w:t>2</w:t>
            </w:r>
            <w:r>
              <w:rPr>
                <w:rFonts w:hint="eastAsia"/>
                <w:color w:val="auto"/>
                <w:highlight w:val="none"/>
              </w:rPr>
              <w:t>。</w:t>
            </w:r>
          </w:p>
          <w:p w14:paraId="4E061430">
            <w:pPr>
              <w:pStyle w:val="56"/>
              <w:ind w:firstLine="420"/>
              <w:rPr>
                <w:color w:val="FF0000"/>
                <w:highlight w:val="none"/>
              </w:rPr>
            </w:pPr>
            <w:r>
              <w:rPr>
                <w:rFonts w:hint="eastAsia"/>
                <w:color w:val="auto"/>
                <w:highlight w:val="none"/>
              </w:rPr>
              <w:t>本工程位于</w:t>
            </w:r>
            <w:r>
              <w:rPr>
                <w:rFonts w:hint="eastAsia"/>
                <w:color w:val="auto"/>
                <w:highlight w:val="none"/>
                <w:lang w:val="en-US" w:eastAsia="zh-CN"/>
              </w:rPr>
              <w:t>大带河左岸</w:t>
            </w:r>
            <w:r>
              <w:rPr>
                <w:rFonts w:hint="eastAsia"/>
                <w:color w:val="auto"/>
                <w:highlight w:val="none"/>
              </w:rPr>
              <w:t>，</w:t>
            </w:r>
            <w:r>
              <w:rPr>
                <w:rFonts w:hint="eastAsia"/>
                <w:color w:val="auto"/>
                <w:highlight w:val="none"/>
                <w:lang w:val="en-US" w:eastAsia="en-US"/>
              </w:rPr>
              <w:t>在现有防洪工程的基础上，通过新建</w:t>
            </w:r>
            <w:r>
              <w:rPr>
                <w:rFonts w:hint="eastAsia"/>
                <w:color w:val="auto"/>
                <w:highlight w:val="none"/>
                <w:lang w:val="en-US" w:eastAsia="zh-CN"/>
              </w:rPr>
              <w:t>堤防护坡</w:t>
            </w:r>
            <w:r>
              <w:rPr>
                <w:rFonts w:hint="eastAsia"/>
                <w:color w:val="auto"/>
                <w:highlight w:val="none"/>
                <w:lang w:val="en-US" w:eastAsia="en-US"/>
              </w:rPr>
              <w:t>工程</w:t>
            </w:r>
            <w:r>
              <w:rPr>
                <w:rFonts w:hint="eastAsia"/>
                <w:color w:val="auto"/>
                <w:highlight w:val="none"/>
                <w:lang w:val="en-US" w:eastAsia="zh-CN"/>
              </w:rPr>
              <w:t>，有效提高堤防洪水防御能力，</w:t>
            </w:r>
            <w:r>
              <w:rPr>
                <w:rFonts w:hint="eastAsia"/>
                <w:color w:val="auto"/>
                <w:highlight w:val="none"/>
                <w:lang w:val="en-US" w:eastAsia="en-US"/>
              </w:rPr>
              <w:t>保证区内人民的生命财产和基本农田</w:t>
            </w:r>
            <w:r>
              <w:rPr>
                <w:rFonts w:hint="eastAsia"/>
                <w:color w:val="auto"/>
                <w:highlight w:val="none"/>
                <w:lang w:val="en-US" w:eastAsia="zh-CN"/>
              </w:rPr>
              <w:t>安全，为</w:t>
            </w:r>
            <w:r>
              <w:rPr>
                <w:rFonts w:hint="eastAsia"/>
                <w:color w:val="auto"/>
                <w:highlight w:val="none"/>
                <w:lang w:val="en-US" w:eastAsia="en-US"/>
              </w:rPr>
              <w:t>人民群众安居乐业，保护耕地，发展农村经济</w:t>
            </w:r>
            <w:r>
              <w:rPr>
                <w:rFonts w:hint="eastAsia"/>
                <w:color w:val="auto"/>
                <w:highlight w:val="none"/>
                <w:lang w:val="en-US" w:eastAsia="zh-CN"/>
              </w:rPr>
              <w:t>，</w:t>
            </w:r>
            <w:r>
              <w:rPr>
                <w:rFonts w:hint="eastAsia"/>
                <w:color w:val="auto"/>
                <w:highlight w:val="none"/>
              </w:rPr>
              <w:t>维持社会和谐稳定、减少水土流失有着重要作用。符合《黑龙江省水土保持规划》（2015-2030）的规划要求。</w:t>
            </w:r>
          </w:p>
          <w:p w14:paraId="2C5E8850">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color w:val="auto"/>
                <w:kern w:val="2"/>
                <w:sz w:val="21"/>
                <w:szCs w:val="24"/>
                <w:highlight w:val="none"/>
                <w:lang w:val="en-US" w:eastAsia="zh-CN" w:bidi="ar-SA"/>
              </w:rPr>
            </w:pPr>
          </w:p>
          <w:p w14:paraId="53C42997">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ascii="Times New Roman" w:hAnsi="Times New Roman" w:eastAsia="宋体" w:cs="Times New Roman"/>
                <w:b/>
                <w:bCs/>
                <w:color w:val="auto"/>
                <w:kern w:val="2"/>
                <w:sz w:val="21"/>
                <w:szCs w:val="24"/>
                <w:highlight w:val="none"/>
                <w:lang w:val="en-US" w:eastAsia="zh-CN" w:bidi="ar-SA"/>
              </w:rPr>
            </w:pPr>
            <w:r>
              <w:rPr>
                <w:rFonts w:hint="eastAsia" w:cs="Times New Roman"/>
                <w:b/>
                <w:bCs/>
                <w:color w:val="auto"/>
                <w:kern w:val="2"/>
                <w:sz w:val="21"/>
                <w:szCs w:val="24"/>
                <w:highlight w:val="none"/>
                <w:lang w:val="en-US" w:eastAsia="zh-CN" w:bidi="ar-SA"/>
              </w:rPr>
              <w:t>五</w:t>
            </w:r>
            <w:r>
              <w:rPr>
                <w:rFonts w:hint="eastAsia" w:ascii="Times New Roman" w:hAnsi="Times New Roman" w:eastAsia="宋体" w:cs="Times New Roman"/>
                <w:b/>
                <w:bCs/>
                <w:color w:val="auto"/>
                <w:kern w:val="2"/>
                <w:sz w:val="21"/>
                <w:szCs w:val="24"/>
                <w:highlight w:val="none"/>
                <w:lang w:val="en-US" w:eastAsia="zh-CN" w:bidi="ar-SA"/>
              </w:rPr>
              <w:t>、与《中华人民共和国自然保护区条例》符合性分析</w:t>
            </w:r>
          </w:p>
          <w:p w14:paraId="2C7CBB47">
            <w:pPr>
              <w:adjustRightInd w:val="0"/>
              <w:snapToGrid w:val="0"/>
              <w:spacing w:line="360" w:lineRule="auto"/>
              <w:ind w:firstLine="420" w:firstLineChars="20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本项目与《中华人民共和国自然保护区条例》（2017年修正）相关规定符合性分析见表1-</w:t>
            </w:r>
            <w:r>
              <w:rPr>
                <w:rFonts w:hint="eastAsia" w:cs="Times New Roman"/>
                <w:color w:val="auto"/>
                <w:kern w:val="2"/>
                <w:sz w:val="21"/>
                <w:szCs w:val="24"/>
                <w:highlight w:val="none"/>
                <w:lang w:val="en-US" w:eastAsia="zh-CN" w:bidi="ar-SA"/>
              </w:rPr>
              <w:t>6</w:t>
            </w:r>
            <w:r>
              <w:rPr>
                <w:rFonts w:hint="eastAsia" w:ascii="Times New Roman" w:hAnsi="Times New Roman" w:eastAsia="宋体" w:cs="Times New Roman"/>
                <w:color w:val="auto"/>
                <w:kern w:val="2"/>
                <w:sz w:val="21"/>
                <w:szCs w:val="24"/>
                <w:highlight w:val="none"/>
                <w:lang w:val="en-US" w:eastAsia="zh-CN" w:bidi="ar-SA"/>
              </w:rPr>
              <w:t>。</w:t>
            </w:r>
          </w:p>
          <w:p w14:paraId="4057C359">
            <w:pPr>
              <w:jc w:val="center"/>
              <w:rPr>
                <w:rFonts w:hint="eastAsia"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表1-</w:t>
            </w:r>
            <w:r>
              <w:rPr>
                <w:rFonts w:hint="eastAsia" w:eastAsia="黑体" w:cs="Times New Roman"/>
                <w:color w:val="auto"/>
                <w:kern w:val="0"/>
                <w:sz w:val="21"/>
                <w:szCs w:val="20"/>
                <w:highlight w:val="none"/>
                <w:lang w:val="en-US" w:eastAsia="zh-CN" w:bidi="ar-SA"/>
              </w:rPr>
              <w:t>6</w:t>
            </w:r>
            <w:r>
              <w:rPr>
                <w:rFonts w:hint="eastAsia" w:ascii="Times New Roman" w:hAnsi="Times New Roman" w:eastAsia="黑体" w:cs="Times New Roman"/>
                <w:color w:val="auto"/>
                <w:kern w:val="0"/>
                <w:sz w:val="21"/>
                <w:szCs w:val="20"/>
                <w:highlight w:val="none"/>
                <w:lang w:val="en-US" w:eastAsia="zh-CN" w:bidi="ar-SA"/>
              </w:rPr>
              <w:t xml:space="preserve">  与《中华人民共和国自然保护区条例》符合性分析一览表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89"/>
              <w:gridCol w:w="4218"/>
              <w:gridCol w:w="2380"/>
            </w:tblGrid>
            <w:tr w14:paraId="312B85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noWrap w:val="0"/>
                  <w:vAlign w:val="center"/>
                </w:tcPr>
                <w:p w14:paraId="7C0573FE">
                  <w:pPr>
                    <w:jc w:val="center"/>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条款</w:t>
                  </w:r>
                </w:p>
              </w:tc>
              <w:tc>
                <w:tcPr>
                  <w:tcW w:w="4218" w:type="dxa"/>
                  <w:noWrap w:val="0"/>
                  <w:vAlign w:val="center"/>
                </w:tcPr>
                <w:p w14:paraId="2DC1369A">
                  <w:pPr>
                    <w:jc w:val="center"/>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相关规定</w:t>
                  </w:r>
                </w:p>
              </w:tc>
              <w:tc>
                <w:tcPr>
                  <w:tcW w:w="2380" w:type="dxa"/>
                  <w:noWrap w:val="0"/>
                  <w:vAlign w:val="center"/>
                </w:tcPr>
                <w:p w14:paraId="743775F5">
                  <w:pPr>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符合性分析</w:t>
                  </w:r>
                </w:p>
              </w:tc>
            </w:tr>
            <w:tr w14:paraId="77C6BD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noWrap w:val="0"/>
                  <w:vAlign w:val="center"/>
                </w:tcPr>
                <w:p w14:paraId="0024B8BA">
                  <w:pPr>
                    <w:jc w:val="center"/>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第十八条</w:t>
                  </w:r>
                </w:p>
              </w:tc>
              <w:tc>
                <w:tcPr>
                  <w:tcW w:w="4218" w:type="dxa"/>
                  <w:noWrap w:val="0"/>
                  <w:vAlign w:val="center"/>
                </w:tcPr>
                <w:p w14:paraId="55848FAF">
                  <w:pPr>
                    <w:ind w:firstLine="360" w:firstLineChars="200"/>
                    <w:jc w:val="left"/>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自然保护区可以分为核心区、缓冲区和实验区。</w:t>
                  </w:r>
                </w:p>
                <w:p w14:paraId="3C1977F5">
                  <w:pPr>
                    <w:ind w:firstLine="360" w:firstLineChars="200"/>
                    <w:jc w:val="left"/>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自然保护区内保存完好的天然状态的生态系统以及珍稀、濒危动植物的集中分布地，应当划为核心区，禁止任何单位和个人进入；除依照本条例第二十七条的规定经批准外，也不允许进入从事科学研究活动。</w:t>
                  </w:r>
                </w:p>
                <w:p w14:paraId="734492CD">
                  <w:pPr>
                    <w:ind w:firstLine="360" w:firstLineChars="200"/>
                    <w:jc w:val="left"/>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核心区外围可以划定一定面积的缓冲区，只准进入从事科学研究观测活动。</w:t>
                  </w:r>
                </w:p>
                <w:p w14:paraId="555976D0">
                  <w:pPr>
                    <w:ind w:firstLine="360" w:firstLineChars="200"/>
                    <w:jc w:val="left"/>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缓冲区外围划为实验区，可以进入从事科学试验、教学实习、参观考察、旅游以及驯化、繁殖珍稀、濒危野生动植物等活动。</w:t>
                  </w:r>
                </w:p>
                <w:p w14:paraId="5A243E22">
                  <w:pPr>
                    <w:ind w:firstLine="360" w:firstLineChars="200"/>
                    <w:jc w:val="left"/>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原批准建立自然保护区的人民政府认为必要时，可以在自然保护区的外围划定一定面积的外围保护地带。</w:t>
                  </w:r>
                </w:p>
              </w:tc>
              <w:tc>
                <w:tcPr>
                  <w:tcW w:w="2380" w:type="dxa"/>
                  <w:noWrap w:val="0"/>
                  <w:vAlign w:val="center"/>
                </w:tcPr>
                <w:p w14:paraId="6FD19B3F">
                  <w:pPr>
                    <w:jc w:val="left"/>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本项目</w:t>
                  </w:r>
                  <w:r>
                    <w:rPr>
                      <w:rFonts w:hint="eastAsia" w:ascii="Times New Roman" w:hAnsi="Times New Roman" w:eastAsia="宋体" w:cs="Times New Roman"/>
                      <w:color w:val="auto"/>
                      <w:kern w:val="0"/>
                      <w:sz w:val="18"/>
                      <w:szCs w:val="18"/>
                      <w:highlight w:val="none"/>
                    </w:rPr>
                    <w:t>不在</w:t>
                  </w:r>
                  <w:r>
                    <w:rPr>
                      <w:rFonts w:ascii="Times New Roman" w:hAnsi="Times New Roman" w:eastAsia="宋体" w:cs="Times New Roman"/>
                      <w:color w:val="auto"/>
                      <w:kern w:val="0"/>
                      <w:sz w:val="18"/>
                      <w:szCs w:val="18"/>
                      <w:highlight w:val="none"/>
                    </w:rPr>
                    <w:t>黑龙江省饶河东北黑蜂国家级自然保护区核心区和缓冲区，位于黑龙江省饶河东北黑蜂国家级自然保护区实验区，符合条例规定。</w:t>
                  </w:r>
                </w:p>
              </w:tc>
            </w:tr>
            <w:tr w14:paraId="711C15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noWrap w:val="0"/>
                  <w:vAlign w:val="center"/>
                </w:tcPr>
                <w:p w14:paraId="44383B56">
                  <w:pPr>
                    <w:jc w:val="center"/>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第二十五条</w:t>
                  </w:r>
                </w:p>
              </w:tc>
              <w:tc>
                <w:tcPr>
                  <w:tcW w:w="4218" w:type="dxa"/>
                  <w:noWrap w:val="0"/>
                  <w:vAlign w:val="center"/>
                </w:tcPr>
                <w:p w14:paraId="54BE5495">
                  <w:pPr>
                    <w:ind w:firstLine="360" w:firstLineChars="200"/>
                    <w:jc w:val="left"/>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在自然保护区内的单位、居民和经批准进入自然保护区的人员，必须遵守自然保护区的各项管理制度，接受自然保护区管理机构的管理。</w:t>
                  </w:r>
                </w:p>
              </w:tc>
              <w:tc>
                <w:tcPr>
                  <w:tcW w:w="2380" w:type="dxa"/>
                  <w:noWrap w:val="0"/>
                  <w:vAlign w:val="center"/>
                </w:tcPr>
                <w:p w14:paraId="63C3FEA9">
                  <w:pPr>
                    <w:jc w:val="left"/>
                    <w:rPr>
                      <w:rFonts w:ascii="Times New Roman" w:hAnsi="Times New Roman" w:eastAsia="宋体" w:cs="Times New Roman"/>
                      <w:color w:val="auto"/>
                      <w:kern w:val="0"/>
                      <w:sz w:val="18"/>
                      <w:szCs w:val="18"/>
                      <w:highlight w:val="none"/>
                    </w:rPr>
                  </w:pPr>
                  <w:r>
                    <w:rPr>
                      <w:rFonts w:hint="eastAsia" w:ascii="Times New Roman" w:hAnsi="Times New Roman" w:eastAsia="宋体" w:cs="Times New Roman"/>
                      <w:color w:val="auto"/>
                      <w:kern w:val="0"/>
                      <w:sz w:val="18"/>
                      <w:szCs w:val="18"/>
                      <w:highlight w:val="none"/>
                    </w:rPr>
                    <w:t>本项目</w:t>
                  </w:r>
                  <w:r>
                    <w:rPr>
                      <w:rFonts w:hint="eastAsia" w:ascii="Times New Roman" w:hAnsi="Times New Roman" w:eastAsia="宋体" w:cs="Times New Roman"/>
                      <w:color w:val="auto"/>
                      <w:kern w:val="0"/>
                      <w:sz w:val="18"/>
                      <w:szCs w:val="18"/>
                      <w:highlight w:val="none"/>
                      <w:lang w:eastAsia="zh-CN"/>
                    </w:rPr>
                    <w:t>施工期及运营期</w:t>
                  </w:r>
                  <w:r>
                    <w:rPr>
                      <w:rFonts w:ascii="Times New Roman" w:hAnsi="Times New Roman" w:eastAsia="宋体" w:cs="Times New Roman"/>
                      <w:color w:val="auto"/>
                      <w:kern w:val="0"/>
                      <w:sz w:val="18"/>
                      <w:szCs w:val="18"/>
                      <w:highlight w:val="none"/>
                    </w:rPr>
                    <w:t>遵守自然保护区的各项管理制度，接受自然保护区管理机构的管理，符合条例规定。</w:t>
                  </w:r>
                </w:p>
              </w:tc>
            </w:tr>
            <w:tr w14:paraId="6CBCBA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noWrap w:val="0"/>
                  <w:vAlign w:val="center"/>
                </w:tcPr>
                <w:p w14:paraId="1E7C7DF3">
                  <w:pPr>
                    <w:jc w:val="center"/>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第二十六条</w:t>
                  </w:r>
                </w:p>
              </w:tc>
              <w:tc>
                <w:tcPr>
                  <w:tcW w:w="4218" w:type="dxa"/>
                  <w:noWrap w:val="0"/>
                  <w:vAlign w:val="center"/>
                </w:tcPr>
                <w:p w14:paraId="78396BB8">
                  <w:pPr>
                    <w:ind w:firstLine="360" w:firstLineChars="200"/>
                    <w:jc w:val="left"/>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禁止在自然保护区内进行砍伐、放牧、狩猎、捕捞、采药、开垦、烧荒、开矿、采石、挖沙等活动；但是，法律、行政法规另有规定的除外。</w:t>
                  </w:r>
                </w:p>
              </w:tc>
              <w:tc>
                <w:tcPr>
                  <w:tcW w:w="2380" w:type="dxa"/>
                  <w:noWrap w:val="0"/>
                  <w:vAlign w:val="center"/>
                </w:tcPr>
                <w:p w14:paraId="0C79F9E7">
                  <w:pP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本项目不涉及在自然保护区</w:t>
                  </w:r>
                  <w:r>
                    <w:rPr>
                      <w:rFonts w:hint="eastAsia" w:ascii="Times New Roman" w:hAnsi="Times New Roman" w:eastAsia="宋体" w:cs="Times New Roman"/>
                      <w:color w:val="auto"/>
                      <w:kern w:val="0"/>
                      <w:sz w:val="18"/>
                      <w:szCs w:val="18"/>
                      <w:highlight w:val="none"/>
                      <w:lang w:eastAsia="zh-CN"/>
                    </w:rPr>
                    <w:t>内</w:t>
                  </w:r>
                  <w:r>
                    <w:rPr>
                      <w:rFonts w:ascii="Times New Roman" w:hAnsi="Times New Roman" w:eastAsia="宋体" w:cs="Times New Roman"/>
                      <w:color w:val="auto"/>
                      <w:kern w:val="0"/>
                      <w:sz w:val="18"/>
                      <w:szCs w:val="18"/>
                      <w:highlight w:val="none"/>
                    </w:rPr>
                    <w:t>砍伐、放牧、狩猎、捕捞、采药、开垦、烧荒、开矿、采石、挖沙等活动，符合条例规定</w:t>
                  </w:r>
                  <w:r>
                    <w:rPr>
                      <w:rFonts w:hint="eastAsia" w:ascii="Times New Roman" w:hAnsi="Times New Roman" w:eastAsia="宋体" w:cs="Times New Roman"/>
                      <w:color w:val="auto"/>
                      <w:kern w:val="0"/>
                      <w:sz w:val="18"/>
                      <w:szCs w:val="18"/>
                      <w:highlight w:val="none"/>
                    </w:rPr>
                    <w:t>。</w:t>
                  </w:r>
                </w:p>
              </w:tc>
            </w:tr>
            <w:tr w14:paraId="68997D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9" w:type="dxa"/>
                  <w:noWrap w:val="0"/>
                  <w:vAlign w:val="center"/>
                </w:tcPr>
                <w:p w14:paraId="18027EA2">
                  <w:pPr>
                    <w:jc w:val="center"/>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第三十二条</w:t>
                  </w:r>
                </w:p>
              </w:tc>
              <w:tc>
                <w:tcPr>
                  <w:tcW w:w="4218" w:type="dxa"/>
                  <w:noWrap w:val="0"/>
                  <w:vAlign w:val="center"/>
                </w:tcPr>
                <w:p w14:paraId="50F15FCC">
                  <w:pPr>
                    <w:ind w:firstLine="360" w:firstLineChars="200"/>
                    <w:jc w:val="left"/>
                    <w:rPr>
                      <w:rFonts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tc>
              <w:tc>
                <w:tcPr>
                  <w:tcW w:w="2380" w:type="dxa"/>
                  <w:noWrap w:val="0"/>
                  <w:vAlign w:val="center"/>
                </w:tcPr>
                <w:p w14:paraId="0891ED45">
                  <w:pPr>
                    <w:jc w:val="center"/>
                    <w:rPr>
                      <w:rFonts w:ascii="Times New Roman" w:hAnsi="Times New Roman" w:eastAsia="宋体" w:cs="Times New Roman"/>
                      <w:color w:val="auto"/>
                      <w:kern w:val="0"/>
                      <w:sz w:val="18"/>
                      <w:szCs w:val="18"/>
                      <w:highlight w:val="none"/>
                    </w:rPr>
                  </w:pPr>
                  <w:r>
                    <w:rPr>
                      <w:rFonts w:ascii="Times New Roman" w:hAnsi="Times New Roman" w:eastAsia="宋体" w:cs="Times New Roman"/>
                      <w:color w:val="auto"/>
                      <w:kern w:val="0"/>
                      <w:sz w:val="18"/>
                      <w:szCs w:val="18"/>
                      <w:highlight w:val="none"/>
                    </w:rPr>
                    <w:t>本项目运营期无污染物排放，施工期产生的扬尘、噪声污染，可使污染物得到有效控制，污染物可达标排放，无废水、固废排放，工程不会对土壤环境产生影响。且施工期的污染是临时的，随着施工期结束而消失。符合条例规定</w:t>
                  </w:r>
                  <w:r>
                    <w:rPr>
                      <w:rFonts w:hint="eastAsia" w:ascii="Times New Roman" w:hAnsi="Times New Roman" w:eastAsia="宋体" w:cs="Times New Roman"/>
                      <w:color w:val="auto"/>
                      <w:kern w:val="0"/>
                      <w:sz w:val="18"/>
                      <w:szCs w:val="18"/>
                      <w:highlight w:val="none"/>
                    </w:rPr>
                    <w:t>。</w:t>
                  </w:r>
                </w:p>
              </w:tc>
            </w:tr>
          </w:tbl>
          <w:p w14:paraId="08F2DE7E">
            <w:pPr>
              <w:adjustRightInd w:val="0"/>
              <w:snapToGrid w:val="0"/>
              <w:spacing w:line="360" w:lineRule="auto"/>
              <w:ind w:firstLine="420" w:firstLineChars="20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综上所述，本项目符合《中华人民共和国自然保护区条例》相关要求。</w:t>
            </w:r>
          </w:p>
          <w:p w14:paraId="3FFBA6B3">
            <w:pPr>
              <w:adjustRightInd w:val="0"/>
              <w:snapToGrid w:val="0"/>
              <w:spacing w:line="360" w:lineRule="auto"/>
              <w:ind w:firstLine="422" w:firstLineChars="200"/>
              <w:rPr>
                <w:rFonts w:hint="eastAsia" w:ascii="Times New Roman" w:hAnsi="Times New Roman" w:eastAsia="宋体" w:cs="Times New Roman"/>
                <w:b/>
                <w:bCs/>
                <w:color w:val="auto"/>
                <w:kern w:val="2"/>
                <w:sz w:val="21"/>
                <w:szCs w:val="24"/>
                <w:highlight w:val="none"/>
                <w:lang w:val="en-US" w:eastAsia="zh-CN" w:bidi="ar-SA"/>
              </w:rPr>
            </w:pPr>
            <w:r>
              <w:rPr>
                <w:rFonts w:hint="eastAsia" w:cs="Times New Roman"/>
                <w:b/>
                <w:bCs/>
                <w:color w:val="auto"/>
                <w:kern w:val="2"/>
                <w:sz w:val="21"/>
                <w:szCs w:val="24"/>
                <w:highlight w:val="none"/>
                <w:lang w:val="en-US" w:eastAsia="zh-CN" w:bidi="ar-SA"/>
              </w:rPr>
              <w:t>六</w:t>
            </w:r>
            <w:r>
              <w:rPr>
                <w:rFonts w:hint="default" w:ascii="Times New Roman" w:hAnsi="Times New Roman" w:eastAsia="宋体" w:cs="Times New Roman"/>
                <w:b/>
                <w:bCs/>
                <w:color w:val="auto"/>
                <w:kern w:val="2"/>
                <w:sz w:val="21"/>
                <w:szCs w:val="24"/>
                <w:highlight w:val="none"/>
                <w:lang w:val="en-US" w:eastAsia="zh-CN" w:bidi="ar-SA"/>
              </w:rPr>
              <w:t>、</w:t>
            </w:r>
            <w:r>
              <w:rPr>
                <w:rFonts w:hint="eastAsia" w:ascii="Times New Roman" w:hAnsi="Times New Roman" w:eastAsia="宋体" w:cs="Times New Roman"/>
                <w:b/>
                <w:bCs/>
                <w:color w:val="auto"/>
                <w:kern w:val="2"/>
                <w:sz w:val="21"/>
                <w:szCs w:val="24"/>
                <w:highlight w:val="none"/>
                <w:lang w:val="en-US" w:eastAsia="zh-CN" w:bidi="ar-SA"/>
              </w:rPr>
              <w:t>与《国家林业和草原局关于规范在森林和野生动物类型国家级自然保护区修筑设施审批管理的通知》（林保规〔2023〕1号）符合性分析</w:t>
            </w:r>
          </w:p>
          <w:p w14:paraId="47DCCADD">
            <w:pPr>
              <w:adjustRightInd w:val="0"/>
              <w:snapToGrid w:val="0"/>
              <w:spacing w:line="360" w:lineRule="auto"/>
              <w:ind w:firstLine="420" w:firstLineChars="20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本项目与</w:t>
            </w:r>
            <w:r>
              <w:rPr>
                <w:rFonts w:hint="eastAsia" w:ascii="Times New Roman" w:hAnsi="Times New Roman" w:eastAsia="宋体" w:cs="Times New Roman"/>
                <w:color w:val="auto"/>
                <w:kern w:val="2"/>
                <w:sz w:val="21"/>
                <w:szCs w:val="24"/>
                <w:highlight w:val="none"/>
                <w:lang w:val="en-US" w:eastAsia="zh-CN" w:bidi="ar-SA"/>
              </w:rPr>
              <w:t>《国家林业和草原局关于规范在森林和野生动物类型国家级自然保护区修筑设施审批管理的通知》（林保规〔2023〕1号）</w:t>
            </w:r>
            <w:r>
              <w:rPr>
                <w:rFonts w:hint="default" w:ascii="Times New Roman" w:hAnsi="Times New Roman" w:eastAsia="宋体" w:cs="Times New Roman"/>
                <w:color w:val="auto"/>
                <w:kern w:val="2"/>
                <w:sz w:val="21"/>
                <w:szCs w:val="24"/>
                <w:highlight w:val="none"/>
                <w:lang w:val="en-US" w:eastAsia="zh-CN" w:bidi="ar-SA"/>
              </w:rPr>
              <w:t>符合性分析见表1-</w:t>
            </w:r>
            <w:r>
              <w:rPr>
                <w:rFonts w:hint="eastAsia" w:cs="Times New Roman"/>
                <w:color w:val="auto"/>
                <w:kern w:val="2"/>
                <w:sz w:val="21"/>
                <w:szCs w:val="24"/>
                <w:highlight w:val="none"/>
                <w:lang w:val="en-US" w:eastAsia="zh-CN" w:bidi="ar-SA"/>
              </w:rPr>
              <w:t>7</w:t>
            </w:r>
            <w:r>
              <w:rPr>
                <w:rFonts w:hint="default" w:ascii="Times New Roman" w:hAnsi="Times New Roman" w:eastAsia="宋体" w:cs="Times New Roman"/>
                <w:color w:val="auto"/>
                <w:kern w:val="2"/>
                <w:sz w:val="21"/>
                <w:szCs w:val="24"/>
                <w:highlight w:val="none"/>
                <w:lang w:val="en-US" w:eastAsia="zh-CN" w:bidi="ar-SA"/>
              </w:rPr>
              <w:t>。</w:t>
            </w:r>
          </w:p>
          <w:p w14:paraId="0D814A4C">
            <w:pPr>
              <w:pStyle w:val="103"/>
              <w:spacing w:line="240" w:lineRule="auto"/>
              <w:rPr>
                <w:rFonts w:hint="eastAsia"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表1-</w:t>
            </w:r>
            <w:r>
              <w:rPr>
                <w:rFonts w:hint="eastAsia" w:cs="Times New Roman"/>
                <w:color w:val="auto"/>
                <w:kern w:val="0"/>
                <w:sz w:val="21"/>
                <w:szCs w:val="20"/>
                <w:highlight w:val="none"/>
                <w:lang w:val="en-US" w:eastAsia="zh-CN" w:bidi="ar-SA"/>
              </w:rPr>
              <w:t>7</w:t>
            </w:r>
            <w:r>
              <w:rPr>
                <w:rFonts w:hint="eastAsia" w:ascii="Times New Roman" w:hAnsi="Times New Roman" w:eastAsia="黑体" w:cs="Times New Roman"/>
                <w:color w:val="auto"/>
                <w:kern w:val="0"/>
                <w:sz w:val="21"/>
                <w:szCs w:val="20"/>
                <w:highlight w:val="none"/>
                <w:lang w:val="en-US" w:eastAsia="zh-CN" w:bidi="ar-SA"/>
              </w:rPr>
              <w:t xml:space="preserve"> </w:t>
            </w:r>
            <w:r>
              <w:rPr>
                <w:rFonts w:hint="eastAsia" w:cs="Times New Roman"/>
                <w:color w:val="auto"/>
                <w:kern w:val="0"/>
                <w:sz w:val="21"/>
                <w:szCs w:val="20"/>
                <w:highlight w:val="none"/>
                <w:lang w:val="en-US" w:eastAsia="zh-CN" w:bidi="ar-SA"/>
              </w:rPr>
              <w:t xml:space="preserve"> </w:t>
            </w:r>
            <w:r>
              <w:rPr>
                <w:rFonts w:hint="eastAsia" w:ascii="Times New Roman" w:hAnsi="Times New Roman" w:eastAsia="黑体" w:cs="Times New Roman"/>
                <w:color w:val="auto"/>
                <w:kern w:val="0"/>
                <w:sz w:val="21"/>
                <w:szCs w:val="20"/>
                <w:highlight w:val="none"/>
                <w:lang w:val="en-US" w:eastAsia="zh-CN" w:bidi="ar-SA"/>
              </w:rPr>
              <w:t>符合性分析一览表</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15"/>
              <w:gridCol w:w="1572"/>
            </w:tblGrid>
            <w:tr w14:paraId="66B20E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1" w:type="pct"/>
                  <w:noWrap w:val="0"/>
                  <w:vAlign w:val="center"/>
                </w:tcPr>
                <w:p w14:paraId="76861C3B">
                  <w:pPr>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相关规定</w:t>
                  </w:r>
                </w:p>
              </w:tc>
              <w:tc>
                <w:tcPr>
                  <w:tcW w:w="1078" w:type="pct"/>
                  <w:noWrap w:val="0"/>
                  <w:vAlign w:val="center"/>
                </w:tcPr>
                <w:p w14:paraId="4954A54B">
                  <w:pPr>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符合性分析</w:t>
                  </w:r>
                </w:p>
              </w:tc>
            </w:tr>
            <w:tr w14:paraId="772DDC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1" w:type="pct"/>
                  <w:noWrap w:val="0"/>
                  <w:vAlign w:val="center"/>
                </w:tcPr>
                <w:p w14:paraId="705DDEC4">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（一）允许修筑以下设施：</w:t>
                  </w:r>
                </w:p>
                <w:p w14:paraId="704C585F">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1.保护、监测、科研、教育、生态修复等项目，必要的生态旅游设施等。</w:t>
                  </w:r>
                </w:p>
                <w:p w14:paraId="18444A3C">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2.在不对自然保护区生态系统和保护对象产生影响的前提下，确实无法避让的重大基础设施、民生、国防建设、公共事业项目。</w:t>
                  </w:r>
                </w:p>
                <w:p w14:paraId="2CF78887">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（二）原则上不允许新建以下设施：</w:t>
                  </w:r>
                </w:p>
                <w:p w14:paraId="7D127205">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1.开垦、开矿、采石、挖沙等活动相关设施。</w:t>
                  </w:r>
                </w:p>
                <w:p w14:paraId="30971F4A">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2.开发区建设、房地产开发、度假村、宾馆饭店、会所、高尔夫球场、风电和光伏电站建设、火力发电、索道建设等不符合自然保护区主体功能定位的建设项目。</w:t>
                  </w:r>
                </w:p>
                <w:p w14:paraId="39FDA421">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3.倾倒有毒有害物质、废弃物、垃圾的项目等。</w:t>
                  </w:r>
                </w:p>
                <w:p w14:paraId="37886E67">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4.污染环境、破坏自然资源或自然景观、对自然保护区主要保护对象产生重大影响的设施。</w:t>
                  </w:r>
                </w:p>
                <w:p w14:paraId="4C5ECF88">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5.法律法规和规章禁止修筑的其他设施。</w:t>
                  </w:r>
                </w:p>
              </w:tc>
              <w:tc>
                <w:tcPr>
                  <w:tcW w:w="1078" w:type="pct"/>
                  <w:noWrap w:val="0"/>
                  <w:vAlign w:val="center"/>
                </w:tcPr>
                <w:p w14:paraId="01B241E1">
                  <w:pPr>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本项目位于黑龙江饶河东北黑蜂国家级自然保护区实验区内，为防洪除涝工程，</w:t>
                  </w:r>
                  <w:r>
                    <w:rPr>
                      <w:rFonts w:hint="eastAsia" w:ascii="Times New Roman" w:hAnsi="Times New Roman" w:eastAsia="宋体" w:cs="Times New Roman"/>
                      <w:color w:val="auto"/>
                      <w:kern w:val="0"/>
                      <w:sz w:val="18"/>
                      <w:szCs w:val="18"/>
                      <w:highlight w:val="none"/>
                      <w:lang w:val="en-US" w:eastAsia="zh-CN"/>
                    </w:rPr>
                    <w:t>且不会对</w:t>
                  </w:r>
                  <w:r>
                    <w:rPr>
                      <w:rFonts w:hint="default" w:ascii="Times New Roman" w:hAnsi="Times New Roman" w:eastAsia="宋体" w:cs="Times New Roman"/>
                      <w:color w:val="auto"/>
                      <w:kern w:val="0"/>
                      <w:sz w:val="18"/>
                      <w:szCs w:val="18"/>
                      <w:highlight w:val="none"/>
                    </w:rPr>
                    <w:t>自然保护区生态系统和保护对象产生影响</w:t>
                  </w:r>
                  <w:r>
                    <w:rPr>
                      <w:rFonts w:hint="eastAsia" w:ascii="Times New Roman" w:hAnsi="Times New Roman" w:eastAsia="宋体" w:cs="Times New Roman"/>
                      <w:color w:val="auto"/>
                      <w:kern w:val="0"/>
                      <w:sz w:val="18"/>
                      <w:szCs w:val="18"/>
                      <w:highlight w:val="none"/>
                      <w:lang w:val="en-US" w:eastAsia="zh-CN"/>
                    </w:rPr>
                    <w:t>，不属于禁止建设项目</w:t>
                  </w:r>
                  <w:r>
                    <w:rPr>
                      <w:rFonts w:hint="eastAsia" w:cs="Times New Roman"/>
                      <w:color w:val="auto"/>
                      <w:kern w:val="0"/>
                      <w:sz w:val="18"/>
                      <w:szCs w:val="18"/>
                      <w:highlight w:val="none"/>
                      <w:lang w:val="en-US" w:eastAsia="zh-CN"/>
                    </w:rPr>
                    <w:t>。</w:t>
                  </w:r>
                </w:p>
              </w:tc>
            </w:tr>
          </w:tbl>
          <w:p w14:paraId="3A775130">
            <w:pPr>
              <w:adjustRightInd w:val="0"/>
              <w:snapToGrid w:val="0"/>
              <w:spacing w:line="360" w:lineRule="auto"/>
              <w:ind w:firstLine="422" w:firstLineChars="200"/>
              <w:rPr>
                <w:rFonts w:hint="default"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t>七</w:t>
            </w:r>
            <w:r>
              <w:rPr>
                <w:rFonts w:hint="default" w:ascii="Times New Roman" w:hAnsi="Times New Roman" w:eastAsia="宋体" w:cs="Times New Roman"/>
                <w:b/>
                <w:bCs/>
                <w:color w:val="auto"/>
                <w:kern w:val="2"/>
                <w:sz w:val="21"/>
                <w:szCs w:val="24"/>
                <w:highlight w:val="none"/>
                <w:lang w:val="en-US" w:eastAsia="zh-CN" w:bidi="ar-SA"/>
              </w:rPr>
              <w:t>、与《自然资源部 生态环境部 国家林业和草原局关于加强生态保护红线管理的通知（试行）》符合性分析</w:t>
            </w:r>
          </w:p>
          <w:p w14:paraId="282C1F4D">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《自然资源部 生态环境部 国家林业和草原局关于加强生态保护红线管理的通知（试行）》（自然资发〔2022〕142号），本项目相关符合性分析见表</w:t>
            </w: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p>
          <w:p w14:paraId="33374C27">
            <w:pPr>
              <w:pStyle w:val="103"/>
              <w:spacing w:line="240" w:lineRule="auto"/>
              <w:rPr>
                <w:rFonts w:hint="default" w:ascii="Times New Roman" w:hAnsi="Times New Roman" w:eastAsia="黑体" w:cs="Times New Roman"/>
                <w:color w:val="auto"/>
                <w:kern w:val="0"/>
                <w:sz w:val="21"/>
                <w:szCs w:val="20"/>
                <w:highlight w:val="none"/>
                <w:lang w:val="en-US" w:eastAsia="zh-CN" w:bidi="ar-SA"/>
              </w:rPr>
            </w:pPr>
            <w:r>
              <w:rPr>
                <w:rFonts w:hint="default" w:ascii="Times New Roman" w:hAnsi="Times New Roman" w:eastAsia="黑体" w:cs="Times New Roman"/>
                <w:color w:val="auto"/>
                <w:kern w:val="0"/>
                <w:sz w:val="21"/>
                <w:szCs w:val="20"/>
                <w:highlight w:val="none"/>
                <w:lang w:val="en-US" w:eastAsia="zh-CN" w:bidi="ar-SA"/>
              </w:rPr>
              <w:t>表1-</w:t>
            </w:r>
            <w:r>
              <w:rPr>
                <w:rFonts w:hint="eastAsia" w:cs="Times New Roman"/>
                <w:color w:val="auto"/>
                <w:kern w:val="0"/>
                <w:sz w:val="21"/>
                <w:szCs w:val="20"/>
                <w:highlight w:val="none"/>
                <w:lang w:val="en-US" w:eastAsia="zh-CN" w:bidi="ar-SA"/>
              </w:rPr>
              <w:t>8</w:t>
            </w:r>
            <w:r>
              <w:rPr>
                <w:rFonts w:hint="default" w:ascii="Times New Roman" w:hAnsi="Times New Roman" w:eastAsia="黑体" w:cs="Times New Roman"/>
                <w:color w:val="auto"/>
                <w:kern w:val="0"/>
                <w:sz w:val="21"/>
                <w:szCs w:val="20"/>
                <w:highlight w:val="none"/>
                <w:lang w:val="en-US" w:eastAsia="zh-CN" w:bidi="ar-SA"/>
              </w:rPr>
              <w:t xml:space="preserve">  符合性分析一览表</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170"/>
              <w:gridCol w:w="3117"/>
            </w:tblGrid>
            <w:tr w14:paraId="234EE7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61" w:type="pct"/>
                  <w:noWrap w:val="0"/>
                  <w:vAlign w:val="center"/>
                </w:tcPr>
                <w:p w14:paraId="48B77198">
                  <w:pPr>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相关规定</w:t>
                  </w:r>
                </w:p>
              </w:tc>
              <w:tc>
                <w:tcPr>
                  <w:tcW w:w="2138" w:type="pct"/>
                  <w:noWrap w:val="0"/>
                  <w:vAlign w:val="center"/>
                </w:tcPr>
                <w:p w14:paraId="283FA6DA">
                  <w:pPr>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符合性分析</w:t>
                  </w:r>
                </w:p>
              </w:tc>
            </w:tr>
            <w:tr w14:paraId="3420A7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61" w:type="pct"/>
                  <w:noWrap w:val="0"/>
                  <w:vAlign w:val="center"/>
                </w:tcPr>
                <w:p w14:paraId="5D266672">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一、加强人为活动管控</w:t>
                  </w:r>
                </w:p>
                <w:p w14:paraId="42E17868">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w:t>
                  </w:r>
                </w:p>
                <w:p w14:paraId="5EC23C38">
                  <w:pPr>
                    <w:jc w:val="both"/>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5.不破坏生态功能的适度参观旅游、科普宣教及符合相关规划的配套性服务设施和相关的必要公共设施建设及维护。</w:t>
                  </w:r>
                </w:p>
              </w:tc>
              <w:tc>
                <w:tcPr>
                  <w:tcW w:w="2138" w:type="pct"/>
                  <w:noWrap w:val="0"/>
                  <w:vAlign w:val="center"/>
                </w:tcPr>
                <w:p w14:paraId="1802E55D">
                  <w:pPr>
                    <w:jc w:val="center"/>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lang w:val="en-US" w:eastAsia="zh-CN"/>
                    </w:rPr>
                    <w:t>本工程占用生态保护红线不属于自然保护地核心保护区，属于必须且无法避让、符合县级以上国土空间规划的线性基础设施建设、防洪和供水设施建设。工程占用饶河县生态保护红线总面积比量极小且仅施工期对环境有影响，不会对生态保护红线的水源涵养功能产生影响。</w:t>
                  </w:r>
                </w:p>
              </w:tc>
            </w:tr>
          </w:tbl>
          <w:p w14:paraId="73589FC8">
            <w:pPr>
              <w:pStyle w:val="56"/>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default" w:ascii="Times New Roman" w:hAnsi="Times New Roman" w:eastAsia="宋体" w:cs="Times New Roman"/>
                <w:b/>
                <w:bCs/>
                <w:color w:val="auto"/>
                <w:kern w:val="2"/>
                <w:sz w:val="21"/>
                <w:szCs w:val="24"/>
                <w:highlight w:val="none"/>
                <w:lang w:val="en-US" w:eastAsia="zh-CN" w:bidi="ar-SA"/>
              </w:rPr>
              <w:t>八、与《饶河县大岱河岸线保护与利用规划》符合性分析</w:t>
            </w:r>
          </w:p>
          <w:p w14:paraId="054E3E41">
            <w:pPr>
              <w:pStyle w:val="56"/>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根据《饶河县大岱河岸线保护与利用规划》中内容“现状基准年为2018年，规划水平年为2030年，岸线功能区是根据河湖岸线的自然属性、经济社会功能属性以及保护和利用要求划定的不同功能定位的区段，分为岸线保护区、岸线保留区、岸线控制利用区和岸线开发利用区。岸线保留区划定情况：1、饶河县东方红林场到饶河村段，均位于黑龙江饶河东北黑蜂国家级自然保护的实验区内，故划定为岸线保留区。2、饶河村入乌苏里江口段，均位于饶河乌苏里江国家湿地公园，故划定为岸线保留区。</w:t>
            </w:r>
          </w:p>
          <w:p w14:paraId="71800038">
            <w:pPr>
              <w:pStyle w:val="56"/>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6.1.2岸线保留区的管理</w:t>
            </w:r>
          </w:p>
          <w:p w14:paraId="4DD66990">
            <w:pPr>
              <w:pStyle w:val="56"/>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岸线保留区是指规划期内暂时不开发利用或者尚不具备开发利用条件的岸线区。岸线保留区的管理须重视岸线开发利用条件，对现状不具备开发利用条件的，原则上在防洪治理及河势控制等工程建成后，方可考虑开发利用，部分洲滩岸线须严格按照流域防洪规划的安排进行管理。</w:t>
            </w:r>
          </w:p>
          <w:p w14:paraId="53E1E3F9">
            <w:pPr>
              <w:pStyle w:val="56"/>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大岱河划定的保留区有1类:即因国家级和省级自然保护区的实验区而划定的岸线保留区。岸线范围内涉及的国家级和省级自然保护区2处。该区段原则上禁止所有类项目的开发。如确需开发需考虑自然保护区和防洪工程建设双重限制因素，并经有关部门批准。”</w:t>
            </w:r>
          </w:p>
          <w:p w14:paraId="25A1ABA2">
            <w:pPr>
              <w:pStyle w:val="56"/>
              <w:ind w:firstLine="420" w:firstLineChars="200"/>
              <w:rPr>
                <w:rFonts w:hint="default" w:cs="Times New Roman"/>
                <w:b w:val="0"/>
                <w:bCs w:val="0"/>
                <w:color w:val="auto"/>
                <w:kern w:val="2"/>
                <w:sz w:val="21"/>
                <w:szCs w:val="24"/>
                <w:highlight w:val="none"/>
                <w:lang w:val="en-US" w:eastAsia="zh-CN" w:bidi="ar-SA"/>
              </w:rPr>
            </w:pPr>
            <w:r>
              <w:rPr>
                <w:rFonts w:hint="eastAsia" w:cs="Times New Roman"/>
                <w:b w:val="0"/>
                <w:bCs w:val="0"/>
                <w:color w:val="auto"/>
                <w:kern w:val="2"/>
                <w:sz w:val="21"/>
                <w:szCs w:val="24"/>
                <w:highlight w:val="none"/>
                <w:lang w:val="en-US" w:eastAsia="zh-CN" w:bidi="ar-SA"/>
              </w:rPr>
              <w:t>本项目为防洪除涝工程，位于岸线保留区，不属于禁止建设项目，本项目已取得有关部门的复函（附件4）。工程运行期间不产生废水、废气等污染物；施工期间产生的生活污水不外排；大气污染物通过洒水降尘等措施有效抑尘；在严格落实本报告提出的各项措施后，工程建设对外环境影响较小。项目建成后，有效提高堤防洪水防御能力，保证区内人民的生命财产和基本农田安全，为人民群众安居乐业，保护耕地，发展农村经济。本项目的建设不破坏生物资源多样性、生态群落的完整性，对区域自然景观和植被影响较小，因此，本项目符合《饶河县大岱河岸线保护与利用规划》中要求。</w:t>
            </w:r>
          </w:p>
          <w:p w14:paraId="5C62B5E6">
            <w:pPr>
              <w:pStyle w:val="56"/>
              <w:ind w:firstLine="422" w:firstLineChars="200"/>
              <w:rPr>
                <w:rFonts w:hint="default" w:ascii="Times New Roman" w:hAnsi="Times New Roman" w:cs="Times New Roman"/>
                <w:b/>
                <w:bCs/>
                <w:color w:val="auto"/>
                <w:kern w:val="2"/>
                <w:sz w:val="21"/>
                <w:szCs w:val="24"/>
                <w:highlight w:val="none"/>
                <w:lang w:val="en-US" w:eastAsia="zh-CN" w:bidi="ar-SA"/>
              </w:rPr>
            </w:pPr>
            <w:r>
              <w:rPr>
                <w:rFonts w:hint="eastAsia" w:ascii="Times New Roman" w:hAnsi="Times New Roman" w:cs="Times New Roman"/>
                <w:b/>
                <w:bCs/>
                <w:color w:val="auto"/>
                <w:kern w:val="2"/>
                <w:sz w:val="21"/>
                <w:szCs w:val="24"/>
                <w:highlight w:val="none"/>
                <w:lang w:val="en-US" w:eastAsia="zh-CN" w:bidi="ar-SA"/>
              </w:rPr>
              <w:t>九、与《</w:t>
            </w:r>
            <w:r>
              <w:rPr>
                <w:rFonts w:hint="default" w:ascii="Times New Roman" w:hAnsi="Times New Roman" w:cs="Times New Roman"/>
                <w:b/>
                <w:bCs/>
                <w:color w:val="auto"/>
                <w:kern w:val="2"/>
                <w:sz w:val="21"/>
                <w:szCs w:val="24"/>
                <w:highlight w:val="none"/>
                <w:lang w:val="en-US" w:eastAsia="zh-CN" w:bidi="ar-SA"/>
              </w:rPr>
              <w:t>饶河县大岱河“一河一策”方案（2024-2026年度）</w:t>
            </w:r>
            <w:r>
              <w:rPr>
                <w:rFonts w:hint="eastAsia" w:ascii="Times New Roman" w:hAnsi="Times New Roman" w:cs="Times New Roman"/>
                <w:b/>
                <w:bCs/>
                <w:color w:val="auto"/>
                <w:kern w:val="2"/>
                <w:sz w:val="21"/>
                <w:szCs w:val="24"/>
                <w:highlight w:val="none"/>
                <w:lang w:val="en-US" w:eastAsia="zh-CN" w:bidi="ar-SA"/>
              </w:rPr>
              <w:t>》符合性分析</w:t>
            </w:r>
          </w:p>
          <w:p w14:paraId="0143CDE3">
            <w:pPr>
              <w:pStyle w:val="56"/>
              <w:ind w:firstLine="420" w:firstLineChars="200"/>
              <w:rPr>
                <w:rFonts w:hint="default"/>
                <w:color w:val="auto"/>
                <w:sz w:val="21"/>
                <w:szCs w:val="21"/>
                <w:highlight w:val="none"/>
              </w:rPr>
            </w:pPr>
            <w:r>
              <w:rPr>
                <w:rFonts w:hint="eastAsia"/>
                <w:color w:val="auto"/>
                <w:sz w:val="21"/>
                <w:szCs w:val="21"/>
                <w:highlight w:val="none"/>
                <w:lang w:val="en-US" w:eastAsia="zh-CN"/>
              </w:rPr>
              <w:t>根据</w:t>
            </w:r>
            <w:r>
              <w:rPr>
                <w:rFonts w:hint="default"/>
                <w:color w:val="auto"/>
                <w:sz w:val="21"/>
                <w:szCs w:val="21"/>
                <w:highlight w:val="none"/>
                <w:lang w:val="en-US" w:eastAsia="zh-CN"/>
              </w:rPr>
              <w:t>《饶河县大岱河“一河一策”方案（2024-2026年度）》</w:t>
            </w:r>
            <w:r>
              <w:rPr>
                <w:rFonts w:hint="eastAsia"/>
                <w:color w:val="auto"/>
                <w:sz w:val="21"/>
                <w:szCs w:val="21"/>
                <w:highlight w:val="none"/>
                <w:lang w:val="en-US" w:eastAsia="zh-CN"/>
              </w:rPr>
              <w:t>中内容：</w:t>
            </w:r>
            <w:r>
              <w:rPr>
                <w:rFonts w:hint="default"/>
                <w:color w:val="auto"/>
                <w:sz w:val="21"/>
                <w:szCs w:val="21"/>
                <w:highlight w:val="none"/>
              </w:rPr>
              <w:t>4.2水域岸线管理保护任务</w:t>
            </w:r>
            <w:r>
              <w:rPr>
                <w:rFonts w:hint="eastAsia"/>
                <w:color w:val="auto"/>
                <w:sz w:val="21"/>
                <w:szCs w:val="21"/>
                <w:highlight w:val="none"/>
                <w:lang w:eastAsia="zh-CN"/>
              </w:rPr>
              <w:t>：</w:t>
            </w:r>
            <w:r>
              <w:rPr>
                <w:rFonts w:hint="default"/>
                <w:color w:val="auto"/>
                <w:sz w:val="21"/>
                <w:szCs w:val="21"/>
                <w:highlight w:val="none"/>
              </w:rPr>
              <w:t>202</w:t>
            </w:r>
            <w:r>
              <w:rPr>
                <w:rFonts w:hint="default"/>
                <w:color w:val="auto"/>
                <w:sz w:val="21"/>
                <w:szCs w:val="21"/>
                <w:highlight w:val="none"/>
                <w:lang w:val="en-US" w:eastAsia="zh-CN"/>
              </w:rPr>
              <w:t>4</w:t>
            </w:r>
            <w:r>
              <w:rPr>
                <w:rFonts w:hint="default"/>
                <w:color w:val="auto"/>
                <w:sz w:val="21"/>
                <w:szCs w:val="21"/>
                <w:highlight w:val="none"/>
              </w:rPr>
              <w:t>年到202</w:t>
            </w:r>
            <w:r>
              <w:rPr>
                <w:rFonts w:hint="default"/>
                <w:color w:val="auto"/>
                <w:sz w:val="21"/>
                <w:szCs w:val="21"/>
                <w:highlight w:val="none"/>
                <w:lang w:val="en-US" w:eastAsia="zh-CN"/>
              </w:rPr>
              <w:t>6</w:t>
            </w:r>
            <w:r>
              <w:rPr>
                <w:rFonts w:hint="default"/>
                <w:color w:val="auto"/>
                <w:sz w:val="21"/>
                <w:szCs w:val="21"/>
                <w:highlight w:val="none"/>
              </w:rPr>
              <w:t>年水域岸线的管理保护任务有以下几个方面：</w:t>
            </w:r>
          </w:p>
          <w:p w14:paraId="525ECF24">
            <w:pPr>
              <w:pStyle w:val="56"/>
              <w:ind w:firstLine="420" w:firstLineChars="200"/>
              <w:rPr>
                <w:rFonts w:hint="default"/>
                <w:color w:val="auto"/>
                <w:sz w:val="21"/>
                <w:szCs w:val="21"/>
                <w:highlight w:val="none"/>
              </w:rPr>
            </w:pPr>
            <w:r>
              <w:rPr>
                <w:rFonts w:hint="default"/>
                <w:color w:val="auto"/>
                <w:sz w:val="21"/>
                <w:szCs w:val="21"/>
                <w:highlight w:val="none"/>
                <w:lang w:val="en-US" w:eastAsia="zh-CN"/>
              </w:rPr>
              <w:t>1）</w:t>
            </w:r>
            <w:r>
              <w:rPr>
                <w:rFonts w:hint="default"/>
                <w:color w:val="auto"/>
                <w:sz w:val="21"/>
                <w:szCs w:val="21"/>
                <w:highlight w:val="none"/>
                <w:lang w:eastAsia="zh-CN"/>
              </w:rPr>
              <w:t>加强水域岸线的日常监管，防止非法占用、破坏和污染行为，维护水域岸线的生态安全。</w:t>
            </w:r>
            <w:r>
              <w:rPr>
                <w:rFonts w:hint="default"/>
                <w:color w:val="auto"/>
                <w:sz w:val="21"/>
                <w:szCs w:val="21"/>
                <w:highlight w:val="none"/>
                <w:lang w:val="en-US" w:eastAsia="zh-CN"/>
              </w:rPr>
              <w:t>2）</w:t>
            </w:r>
            <w:r>
              <w:rPr>
                <w:rFonts w:hint="default"/>
                <w:color w:val="auto"/>
                <w:sz w:val="21"/>
                <w:szCs w:val="21"/>
                <w:highlight w:val="none"/>
                <w:lang w:eastAsia="zh-CN"/>
              </w:rPr>
              <w:t>实施水域岸线修复工程，对受损的岸线进行生态修复，提升水域岸线的生态功能。</w:t>
            </w:r>
            <w:r>
              <w:rPr>
                <w:rFonts w:hint="default"/>
                <w:color w:val="auto"/>
                <w:sz w:val="21"/>
                <w:szCs w:val="21"/>
                <w:highlight w:val="none"/>
                <w:lang w:val="en-US" w:eastAsia="zh-CN"/>
              </w:rPr>
              <w:t>3）</w:t>
            </w:r>
            <w:r>
              <w:rPr>
                <w:rFonts w:hint="default"/>
                <w:color w:val="auto"/>
                <w:sz w:val="21"/>
                <w:szCs w:val="21"/>
                <w:highlight w:val="none"/>
                <w:lang w:eastAsia="zh-CN"/>
              </w:rPr>
              <w:t>推广水域岸线保护知识，提高公众保护意识，鼓励社会各界参与水域岸线保护工作。</w:t>
            </w:r>
            <w:r>
              <w:rPr>
                <w:rFonts w:hint="default"/>
                <w:color w:val="auto"/>
                <w:sz w:val="21"/>
                <w:szCs w:val="21"/>
                <w:highlight w:val="none"/>
                <w:lang w:val="en-US" w:eastAsia="zh-CN"/>
              </w:rPr>
              <w:t>4）</w:t>
            </w:r>
            <w:r>
              <w:rPr>
                <w:rFonts w:hint="default"/>
                <w:color w:val="auto"/>
                <w:sz w:val="21"/>
                <w:szCs w:val="21"/>
                <w:highlight w:val="none"/>
                <w:lang w:eastAsia="zh-CN"/>
              </w:rPr>
              <w:t>加强水域岸线保护的法律法规建设，完善相关政策措施，为水域岸线保护提供法律保障。</w:t>
            </w:r>
            <w:r>
              <w:rPr>
                <w:rFonts w:hint="default"/>
                <w:color w:val="auto"/>
                <w:sz w:val="21"/>
                <w:szCs w:val="21"/>
                <w:highlight w:val="none"/>
                <w:lang w:val="en-US" w:eastAsia="zh-CN"/>
              </w:rPr>
              <w:t>5）</w:t>
            </w:r>
            <w:r>
              <w:rPr>
                <w:rFonts w:hint="default"/>
                <w:color w:val="auto"/>
                <w:sz w:val="21"/>
                <w:szCs w:val="21"/>
                <w:highlight w:val="none"/>
                <w:lang w:eastAsia="zh-CN"/>
              </w:rPr>
              <w:t>建立水域岸线保护监测体系，定期对水域岸线的环境质量、生态状况进行监测评估，及时发现并解决存在的问题。</w:t>
            </w:r>
          </w:p>
          <w:p w14:paraId="1CCFD626">
            <w:pPr>
              <w:pStyle w:val="56"/>
              <w:ind w:firstLine="420" w:firstLineChars="200"/>
              <w:rPr>
                <w:rFonts w:hint="default" w:eastAsia="宋体"/>
                <w:color w:val="auto"/>
                <w:sz w:val="21"/>
                <w:szCs w:val="21"/>
                <w:highlight w:val="none"/>
                <w:lang w:val="en-US" w:eastAsia="zh-CN"/>
              </w:rPr>
            </w:pPr>
            <w:r>
              <w:rPr>
                <w:rFonts w:hint="eastAsia"/>
                <w:color w:val="auto"/>
                <w:highlight w:val="none"/>
              </w:rPr>
              <w:t>本工程共</w:t>
            </w:r>
            <w:r>
              <w:rPr>
                <w:rFonts w:hint="eastAsia"/>
                <w:color w:val="auto"/>
                <w:highlight w:val="none"/>
                <w:lang w:val="en-US" w:eastAsia="zh-CN"/>
              </w:rPr>
              <w:t>新建堤防护坡</w:t>
            </w:r>
            <w:r>
              <w:rPr>
                <w:rFonts w:hint="eastAsia"/>
                <w:color w:val="auto"/>
                <w:highlight w:val="none"/>
              </w:rPr>
              <w:t>工程</w:t>
            </w:r>
            <w:r>
              <w:rPr>
                <w:rFonts w:hint="eastAsia"/>
                <w:color w:val="auto"/>
                <w:highlight w:val="none"/>
                <w:lang w:val="en-US" w:eastAsia="zh-CN"/>
              </w:rPr>
              <w:t>1</w:t>
            </w:r>
            <w:r>
              <w:rPr>
                <w:rFonts w:hint="eastAsia"/>
                <w:color w:val="auto"/>
                <w:highlight w:val="none"/>
              </w:rPr>
              <w:t>段，总长</w:t>
            </w:r>
            <w:r>
              <w:rPr>
                <w:rFonts w:hint="eastAsia"/>
                <w:color w:val="auto"/>
                <w:highlight w:val="none"/>
                <w:lang w:val="en-US" w:eastAsia="zh-CN"/>
              </w:rPr>
              <w:t>1.86k</w:t>
            </w:r>
            <w:r>
              <w:rPr>
                <w:rFonts w:hint="eastAsia"/>
                <w:color w:val="auto"/>
                <w:highlight w:val="none"/>
              </w:rPr>
              <w:t>m</w:t>
            </w:r>
            <w:r>
              <w:rPr>
                <w:rFonts w:hint="eastAsia"/>
                <w:color w:val="auto"/>
                <w:highlight w:val="none"/>
                <w:lang w:eastAsia="zh-CN"/>
              </w:rPr>
              <w:t>，</w:t>
            </w:r>
            <w:r>
              <w:rPr>
                <w:rFonts w:hint="eastAsia"/>
                <w:color w:val="auto"/>
                <w:highlight w:val="none"/>
                <w:lang w:val="en-US" w:eastAsia="zh-CN"/>
              </w:rPr>
              <w:t>位于大带河左岸</w:t>
            </w:r>
            <w:r>
              <w:rPr>
                <w:rFonts w:hint="eastAsia"/>
                <w:color w:val="auto"/>
                <w:highlight w:val="none"/>
              </w:rPr>
              <w:t>。</w:t>
            </w:r>
            <w:r>
              <w:rPr>
                <w:rFonts w:hint="eastAsia"/>
                <w:color w:val="auto"/>
                <w:highlight w:val="none"/>
                <w:lang w:val="en-US" w:eastAsia="en-US"/>
              </w:rPr>
              <w:t>在现有防洪工程的基础上，通过新建</w:t>
            </w:r>
            <w:r>
              <w:rPr>
                <w:rFonts w:hint="eastAsia"/>
                <w:color w:val="auto"/>
                <w:highlight w:val="none"/>
                <w:lang w:val="en-US" w:eastAsia="zh-CN"/>
              </w:rPr>
              <w:t>堤防护坡</w:t>
            </w:r>
            <w:r>
              <w:rPr>
                <w:rFonts w:hint="eastAsia"/>
                <w:color w:val="auto"/>
                <w:highlight w:val="none"/>
                <w:lang w:val="en-US" w:eastAsia="en-US"/>
              </w:rPr>
              <w:t>工程</w:t>
            </w:r>
            <w:r>
              <w:rPr>
                <w:rFonts w:hint="eastAsia"/>
                <w:color w:val="auto"/>
                <w:highlight w:val="none"/>
                <w:lang w:val="en-US" w:eastAsia="zh-CN"/>
              </w:rPr>
              <w:t>，有效提高堤防洪水防御能力，</w:t>
            </w:r>
            <w:r>
              <w:rPr>
                <w:rFonts w:hint="eastAsia"/>
                <w:color w:val="auto"/>
                <w:highlight w:val="none"/>
                <w:lang w:val="en-US" w:eastAsia="en-US"/>
              </w:rPr>
              <w:t>保证区内人民的生命财产和基本农田</w:t>
            </w:r>
            <w:r>
              <w:rPr>
                <w:rFonts w:hint="eastAsia"/>
                <w:color w:val="auto"/>
                <w:highlight w:val="none"/>
                <w:lang w:val="en-US" w:eastAsia="zh-CN"/>
              </w:rPr>
              <w:t>安全，为</w:t>
            </w:r>
            <w:r>
              <w:rPr>
                <w:rFonts w:hint="eastAsia"/>
                <w:color w:val="auto"/>
                <w:highlight w:val="none"/>
                <w:lang w:val="en-US" w:eastAsia="en-US"/>
              </w:rPr>
              <w:t>人民群众安居乐业，保护耕地，发展农村经济。</w:t>
            </w:r>
            <w:r>
              <w:rPr>
                <w:rFonts w:hint="eastAsia"/>
                <w:color w:val="auto"/>
                <w:highlight w:val="none"/>
                <w:lang w:val="en-US" w:eastAsia="zh-CN"/>
              </w:rPr>
              <w:t>符合《饶河县大岱河“一河一策”方案（2024-2026年度）》中要求。</w:t>
            </w:r>
          </w:p>
          <w:p w14:paraId="30247177">
            <w:pPr>
              <w:pStyle w:val="56"/>
              <w:ind w:firstLine="420" w:firstLineChars="200"/>
              <w:rPr>
                <w:rFonts w:hint="default"/>
                <w:color w:val="auto"/>
                <w:sz w:val="21"/>
                <w:szCs w:val="21"/>
                <w:highlight w:val="none"/>
              </w:rPr>
            </w:pPr>
          </w:p>
          <w:p w14:paraId="77E19652">
            <w:pPr>
              <w:pStyle w:val="56"/>
              <w:ind w:firstLine="420" w:firstLineChars="200"/>
              <w:rPr>
                <w:rFonts w:hint="default"/>
                <w:color w:val="auto"/>
                <w:sz w:val="21"/>
                <w:szCs w:val="21"/>
                <w:highlight w:val="none"/>
              </w:rPr>
            </w:pPr>
          </w:p>
          <w:p w14:paraId="7C8926F8">
            <w:pPr>
              <w:pStyle w:val="56"/>
              <w:ind w:firstLine="420" w:firstLineChars="200"/>
              <w:rPr>
                <w:rFonts w:hint="default"/>
                <w:color w:val="auto"/>
                <w:sz w:val="21"/>
                <w:szCs w:val="21"/>
                <w:highlight w:val="none"/>
              </w:rPr>
            </w:pPr>
          </w:p>
          <w:p w14:paraId="296871B4">
            <w:pPr>
              <w:pStyle w:val="56"/>
              <w:ind w:firstLine="420" w:firstLineChars="200"/>
              <w:rPr>
                <w:rFonts w:hint="default"/>
                <w:color w:val="auto"/>
                <w:sz w:val="21"/>
                <w:szCs w:val="21"/>
                <w:highlight w:val="none"/>
              </w:rPr>
            </w:pPr>
          </w:p>
          <w:p w14:paraId="43922D1B">
            <w:pPr>
              <w:pStyle w:val="56"/>
              <w:ind w:firstLine="420" w:firstLineChars="200"/>
              <w:rPr>
                <w:rFonts w:hint="default"/>
                <w:color w:val="auto"/>
                <w:sz w:val="21"/>
                <w:szCs w:val="21"/>
                <w:highlight w:val="none"/>
              </w:rPr>
            </w:pPr>
          </w:p>
          <w:p w14:paraId="12D75866">
            <w:pPr>
              <w:pStyle w:val="56"/>
              <w:ind w:firstLine="420" w:firstLineChars="200"/>
              <w:rPr>
                <w:rFonts w:hint="default"/>
                <w:color w:val="auto"/>
                <w:sz w:val="21"/>
                <w:szCs w:val="21"/>
                <w:highlight w:val="none"/>
              </w:rPr>
            </w:pPr>
          </w:p>
          <w:p w14:paraId="7C27EE9F">
            <w:pPr>
              <w:pStyle w:val="56"/>
              <w:ind w:firstLine="420" w:firstLineChars="200"/>
              <w:rPr>
                <w:rFonts w:hint="default"/>
                <w:color w:val="auto"/>
                <w:sz w:val="21"/>
                <w:szCs w:val="21"/>
                <w:highlight w:val="none"/>
              </w:rPr>
            </w:pPr>
          </w:p>
          <w:p w14:paraId="68213011">
            <w:pPr>
              <w:pStyle w:val="56"/>
              <w:ind w:firstLine="420" w:firstLineChars="200"/>
              <w:rPr>
                <w:rFonts w:hint="default"/>
                <w:color w:val="auto"/>
                <w:sz w:val="21"/>
                <w:szCs w:val="21"/>
                <w:highlight w:val="none"/>
              </w:rPr>
            </w:pPr>
          </w:p>
          <w:p w14:paraId="0459600E">
            <w:pPr>
              <w:pStyle w:val="56"/>
              <w:ind w:firstLine="420" w:firstLineChars="200"/>
              <w:rPr>
                <w:rFonts w:hint="default"/>
                <w:color w:val="auto"/>
                <w:sz w:val="21"/>
                <w:szCs w:val="21"/>
                <w:highlight w:val="none"/>
              </w:rPr>
            </w:pPr>
          </w:p>
          <w:p w14:paraId="4F463AA7">
            <w:pPr>
              <w:pStyle w:val="56"/>
              <w:ind w:firstLine="420" w:firstLineChars="200"/>
              <w:rPr>
                <w:rFonts w:hint="default"/>
                <w:color w:val="auto"/>
                <w:sz w:val="21"/>
                <w:szCs w:val="21"/>
                <w:highlight w:val="none"/>
              </w:rPr>
            </w:pPr>
          </w:p>
        </w:tc>
      </w:tr>
      <w:bookmarkEnd w:id="3"/>
    </w:tbl>
    <w:p w14:paraId="23086C90">
      <w:pPr>
        <w:spacing w:line="360" w:lineRule="auto"/>
        <w:outlineLvl w:val="0"/>
        <w:rPr>
          <w:rFonts w:eastAsia="黑体"/>
          <w:color w:val="FF0000"/>
          <w:sz w:val="30"/>
          <w:highlight w:val="none"/>
        </w:rPr>
        <w:sectPr>
          <w:footerReference r:id="rId4" w:type="default"/>
          <w:footerReference r:id="rId5"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728136A">
      <w:pPr>
        <w:pStyle w:val="22"/>
        <w:jc w:val="center"/>
        <w:outlineLvl w:val="0"/>
        <w:rPr>
          <w:rFonts w:ascii="Times New Roman" w:hAnsi="Times New Roman" w:eastAsia="黑体"/>
          <w:snapToGrid w:val="0"/>
          <w:color w:val="auto"/>
          <w:sz w:val="30"/>
          <w:szCs w:val="30"/>
          <w:highlight w:val="none"/>
        </w:rPr>
      </w:pPr>
      <w:bookmarkStart w:id="4" w:name="_Toc13562"/>
      <w:r>
        <w:rPr>
          <w:rFonts w:ascii="Times New Roman" w:hAnsi="Times New Roman" w:eastAsia="黑体"/>
          <w:snapToGrid w:val="0"/>
          <w:color w:val="auto"/>
          <w:sz w:val="30"/>
          <w:szCs w:val="30"/>
          <w:highlight w:val="none"/>
        </w:rPr>
        <w:t>二、建设内容</w:t>
      </w:r>
      <w:bookmarkEnd w:id="4"/>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7759"/>
      </w:tblGrid>
      <w:tr w14:paraId="25619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448" w:type="pct"/>
            <w:vAlign w:val="center"/>
          </w:tcPr>
          <w:p w14:paraId="277D78CA">
            <w:pPr>
              <w:adjustRightInd w:val="0"/>
              <w:snapToGrid w:val="0"/>
              <w:jc w:val="center"/>
              <w:rPr>
                <w:color w:val="auto"/>
                <w:kern w:val="0"/>
                <w:szCs w:val="21"/>
                <w:highlight w:val="none"/>
              </w:rPr>
            </w:pPr>
            <w:r>
              <w:rPr>
                <w:color w:val="auto"/>
                <w:kern w:val="0"/>
                <w:szCs w:val="21"/>
                <w:highlight w:val="none"/>
              </w:rPr>
              <w:t>地理位置</w:t>
            </w:r>
          </w:p>
        </w:tc>
        <w:tc>
          <w:tcPr>
            <w:tcW w:w="4551" w:type="pct"/>
            <w:vAlign w:val="center"/>
          </w:tcPr>
          <w:p w14:paraId="138FA877">
            <w:pPr>
              <w:pStyle w:val="56"/>
              <w:ind w:firstLine="420"/>
              <w:rPr>
                <w:color w:val="auto"/>
                <w:szCs w:val="21"/>
                <w:highlight w:val="none"/>
              </w:rPr>
            </w:pPr>
            <w:r>
              <w:rPr>
                <w:rFonts w:hint="eastAsia"/>
                <w:color w:val="auto"/>
                <w:highlight w:val="none"/>
              </w:rPr>
              <w:t>本次</w:t>
            </w:r>
            <w:r>
              <w:rPr>
                <w:rFonts w:hint="eastAsia"/>
                <w:color w:val="auto"/>
                <w:highlight w:val="none"/>
                <w:lang w:eastAsia="zh-CN"/>
              </w:rPr>
              <w:t>黑龙江省饶河县大带河治理工程（补充）（EPC）</w:t>
            </w:r>
            <w:r>
              <w:rPr>
                <w:rFonts w:hint="eastAsia"/>
                <w:color w:val="auto"/>
                <w:highlight w:val="none"/>
              </w:rPr>
              <w:t>位于</w:t>
            </w:r>
            <w:r>
              <w:rPr>
                <w:rFonts w:hint="eastAsia"/>
                <w:color w:val="auto"/>
                <w:highlight w:val="none"/>
                <w:lang w:eastAsia="zh-CN"/>
              </w:rPr>
              <w:t>黑龙江省双鸭山市饶河县大带河</w:t>
            </w:r>
            <w:r>
              <w:rPr>
                <w:rFonts w:hint="eastAsia"/>
                <w:color w:val="auto"/>
                <w:highlight w:val="none"/>
              </w:rPr>
              <w:t>，本项目位置</w:t>
            </w:r>
            <w:r>
              <w:rPr>
                <w:rFonts w:hint="eastAsia"/>
                <w:color w:val="auto"/>
                <w:szCs w:val="21"/>
                <w:highlight w:val="none"/>
              </w:rPr>
              <w:t>工程起点、终点坐标如下，具体见附图1地理位置图。</w:t>
            </w:r>
          </w:p>
          <w:p w14:paraId="0515BE3A">
            <w:pPr>
              <w:pStyle w:val="56"/>
              <w:ind w:firstLine="420"/>
              <w:rPr>
                <w:rFonts w:hint="eastAsia" w:eastAsia="宋体"/>
                <w:color w:val="auto"/>
                <w:highlight w:val="none"/>
                <w:lang w:eastAsia="zh-CN"/>
              </w:rPr>
            </w:pPr>
            <w:r>
              <w:rPr>
                <w:rFonts w:hint="eastAsia"/>
                <w:color w:val="auto"/>
                <w:highlight w:val="none"/>
              </w:rPr>
              <w:t>起点坐标：（1</w:t>
            </w:r>
            <w:r>
              <w:rPr>
                <w:rFonts w:hint="eastAsia"/>
                <w:color w:val="auto"/>
                <w:highlight w:val="none"/>
                <w:lang w:val="en-US" w:eastAsia="zh-CN"/>
              </w:rPr>
              <w:t>33</w:t>
            </w:r>
            <w:r>
              <w:rPr>
                <w:rFonts w:hint="eastAsia"/>
                <w:color w:val="auto"/>
                <w:highlight w:val="none"/>
              </w:rPr>
              <w:t>度</w:t>
            </w:r>
            <w:r>
              <w:rPr>
                <w:rFonts w:hint="eastAsia"/>
                <w:color w:val="auto"/>
                <w:highlight w:val="none"/>
                <w:lang w:val="en-US" w:eastAsia="zh-CN"/>
              </w:rPr>
              <w:t>59</w:t>
            </w:r>
            <w:r>
              <w:rPr>
                <w:rFonts w:hint="eastAsia"/>
                <w:color w:val="auto"/>
                <w:highlight w:val="none"/>
              </w:rPr>
              <w:t>分</w:t>
            </w:r>
            <w:r>
              <w:rPr>
                <w:rFonts w:hint="eastAsia"/>
                <w:color w:val="auto"/>
                <w:highlight w:val="none"/>
                <w:lang w:val="en-US" w:eastAsia="zh-CN"/>
              </w:rPr>
              <w:t>37.975</w:t>
            </w:r>
            <w:r>
              <w:rPr>
                <w:rFonts w:hint="eastAsia"/>
                <w:color w:val="auto"/>
                <w:highlight w:val="none"/>
              </w:rPr>
              <w:t>秒，46度</w:t>
            </w:r>
            <w:r>
              <w:rPr>
                <w:rFonts w:hint="eastAsia"/>
                <w:color w:val="auto"/>
                <w:highlight w:val="none"/>
                <w:lang w:val="en-US" w:eastAsia="zh-CN"/>
              </w:rPr>
              <w:t>50</w:t>
            </w:r>
            <w:r>
              <w:rPr>
                <w:rFonts w:hint="eastAsia"/>
                <w:color w:val="auto"/>
                <w:highlight w:val="none"/>
              </w:rPr>
              <w:t>分</w:t>
            </w:r>
            <w:r>
              <w:rPr>
                <w:rFonts w:hint="eastAsia"/>
                <w:color w:val="auto"/>
                <w:highlight w:val="none"/>
                <w:lang w:val="en-US" w:eastAsia="zh-CN"/>
              </w:rPr>
              <w:t>16.899</w:t>
            </w:r>
            <w:r>
              <w:rPr>
                <w:rFonts w:hint="eastAsia"/>
                <w:color w:val="auto"/>
                <w:highlight w:val="none"/>
              </w:rPr>
              <w:t>秒）</w:t>
            </w:r>
            <w:r>
              <w:rPr>
                <w:rFonts w:hint="eastAsia"/>
                <w:color w:val="auto"/>
                <w:highlight w:val="none"/>
                <w:lang w:eastAsia="zh-CN"/>
              </w:rPr>
              <w:t>；</w:t>
            </w:r>
          </w:p>
          <w:p w14:paraId="4048012B">
            <w:pPr>
              <w:pStyle w:val="56"/>
              <w:ind w:firstLine="420"/>
              <w:rPr>
                <w:color w:val="auto"/>
                <w:highlight w:val="none"/>
              </w:rPr>
            </w:pPr>
            <w:r>
              <w:rPr>
                <w:rFonts w:hint="eastAsia"/>
                <w:color w:val="auto"/>
                <w:highlight w:val="none"/>
              </w:rPr>
              <w:t>终点坐标：（1</w:t>
            </w:r>
            <w:r>
              <w:rPr>
                <w:rFonts w:hint="eastAsia"/>
                <w:color w:val="auto"/>
                <w:highlight w:val="none"/>
                <w:lang w:val="en-US" w:eastAsia="zh-CN"/>
              </w:rPr>
              <w:t>33</w:t>
            </w:r>
            <w:r>
              <w:rPr>
                <w:rFonts w:hint="eastAsia"/>
                <w:color w:val="auto"/>
                <w:highlight w:val="none"/>
              </w:rPr>
              <w:t>度</w:t>
            </w:r>
            <w:r>
              <w:rPr>
                <w:rFonts w:hint="eastAsia"/>
                <w:color w:val="auto"/>
                <w:highlight w:val="none"/>
                <w:lang w:val="en-US" w:eastAsia="zh-CN"/>
              </w:rPr>
              <w:t>58</w:t>
            </w:r>
            <w:r>
              <w:rPr>
                <w:rFonts w:hint="eastAsia"/>
                <w:color w:val="auto"/>
                <w:highlight w:val="none"/>
              </w:rPr>
              <w:t>分</w:t>
            </w:r>
            <w:r>
              <w:rPr>
                <w:rFonts w:hint="eastAsia"/>
                <w:color w:val="auto"/>
                <w:highlight w:val="none"/>
                <w:lang w:val="en-US" w:eastAsia="zh-CN"/>
              </w:rPr>
              <w:t>19.365</w:t>
            </w:r>
            <w:r>
              <w:rPr>
                <w:rFonts w:hint="eastAsia"/>
                <w:color w:val="auto"/>
                <w:highlight w:val="none"/>
              </w:rPr>
              <w:t>秒，</w:t>
            </w:r>
            <w:r>
              <w:rPr>
                <w:rFonts w:hint="eastAsia"/>
                <w:color w:val="auto"/>
                <w:highlight w:val="none"/>
                <w:lang w:val="en-US" w:eastAsia="zh-CN"/>
              </w:rPr>
              <w:t>46</w:t>
            </w:r>
            <w:r>
              <w:rPr>
                <w:rFonts w:hint="eastAsia"/>
                <w:color w:val="auto"/>
                <w:highlight w:val="none"/>
              </w:rPr>
              <w:t>度</w:t>
            </w:r>
            <w:r>
              <w:rPr>
                <w:rFonts w:hint="eastAsia"/>
                <w:color w:val="auto"/>
                <w:highlight w:val="none"/>
                <w:lang w:val="en-US" w:eastAsia="zh-CN"/>
              </w:rPr>
              <w:t>50</w:t>
            </w:r>
            <w:r>
              <w:rPr>
                <w:rFonts w:hint="eastAsia"/>
                <w:color w:val="auto"/>
                <w:highlight w:val="none"/>
              </w:rPr>
              <w:t>分</w:t>
            </w:r>
            <w:r>
              <w:rPr>
                <w:rFonts w:hint="eastAsia"/>
                <w:color w:val="auto"/>
                <w:highlight w:val="none"/>
                <w:lang w:val="en-US" w:eastAsia="zh-CN"/>
              </w:rPr>
              <w:t>10.947</w:t>
            </w:r>
            <w:r>
              <w:rPr>
                <w:rFonts w:hint="eastAsia"/>
                <w:color w:val="auto"/>
                <w:highlight w:val="none"/>
              </w:rPr>
              <w:t>秒）。</w:t>
            </w:r>
          </w:p>
        </w:tc>
      </w:tr>
      <w:tr w14:paraId="08AB03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48" w:type="pct"/>
            <w:vAlign w:val="center"/>
          </w:tcPr>
          <w:p w14:paraId="2D3B178B">
            <w:pPr>
              <w:adjustRightInd w:val="0"/>
              <w:snapToGrid w:val="0"/>
              <w:jc w:val="center"/>
              <w:rPr>
                <w:color w:val="FF0000"/>
                <w:kern w:val="0"/>
                <w:szCs w:val="21"/>
                <w:highlight w:val="none"/>
              </w:rPr>
            </w:pPr>
            <w:r>
              <w:rPr>
                <w:color w:val="auto"/>
                <w:kern w:val="0"/>
                <w:szCs w:val="21"/>
                <w:highlight w:val="none"/>
              </w:rPr>
              <w:t>项目组成及规模</w:t>
            </w:r>
          </w:p>
        </w:tc>
        <w:tc>
          <w:tcPr>
            <w:tcW w:w="4551" w:type="pct"/>
            <w:vAlign w:val="center"/>
          </w:tcPr>
          <w:p w14:paraId="5873E20E">
            <w:pPr>
              <w:pStyle w:val="56"/>
              <w:ind w:firstLine="420"/>
              <w:rPr>
                <w:color w:val="auto"/>
                <w:highlight w:val="none"/>
              </w:rPr>
            </w:pPr>
            <w:r>
              <w:rPr>
                <w:rFonts w:hint="eastAsia"/>
                <w:color w:val="auto"/>
                <w:highlight w:val="none"/>
              </w:rPr>
              <w:t>一、工程任务</w:t>
            </w:r>
          </w:p>
          <w:p w14:paraId="784732B2">
            <w:pPr>
              <w:pStyle w:val="56"/>
              <w:ind w:firstLine="420"/>
              <w:rPr>
                <w:color w:val="FF0000"/>
                <w:highlight w:val="none"/>
              </w:rPr>
            </w:pPr>
            <w:r>
              <w:rPr>
                <w:rFonts w:hint="eastAsia"/>
                <w:color w:val="auto"/>
                <w:highlight w:val="none"/>
              </w:rPr>
              <w:t>本工程共</w:t>
            </w:r>
            <w:r>
              <w:rPr>
                <w:rFonts w:hint="eastAsia"/>
                <w:color w:val="auto"/>
                <w:highlight w:val="none"/>
                <w:lang w:val="en-US" w:eastAsia="zh-CN"/>
              </w:rPr>
              <w:t>新建堤防护坡</w:t>
            </w:r>
            <w:r>
              <w:rPr>
                <w:rFonts w:hint="eastAsia"/>
                <w:color w:val="auto"/>
                <w:highlight w:val="none"/>
              </w:rPr>
              <w:t>工程</w:t>
            </w:r>
            <w:r>
              <w:rPr>
                <w:rFonts w:hint="eastAsia"/>
                <w:color w:val="auto"/>
                <w:highlight w:val="none"/>
                <w:lang w:val="en-US" w:eastAsia="zh-CN"/>
              </w:rPr>
              <w:t>1</w:t>
            </w:r>
            <w:r>
              <w:rPr>
                <w:rFonts w:hint="eastAsia"/>
                <w:color w:val="auto"/>
                <w:highlight w:val="none"/>
              </w:rPr>
              <w:t>段，总长</w:t>
            </w:r>
            <w:r>
              <w:rPr>
                <w:rFonts w:hint="eastAsia"/>
                <w:color w:val="auto"/>
                <w:highlight w:val="none"/>
                <w:lang w:val="en-US" w:eastAsia="zh-CN"/>
              </w:rPr>
              <w:t>1.86k</w:t>
            </w:r>
            <w:r>
              <w:rPr>
                <w:rFonts w:hint="eastAsia"/>
                <w:color w:val="auto"/>
                <w:highlight w:val="none"/>
              </w:rPr>
              <w:t>m</w:t>
            </w:r>
            <w:r>
              <w:rPr>
                <w:rFonts w:hint="eastAsia"/>
                <w:color w:val="auto"/>
                <w:highlight w:val="none"/>
                <w:lang w:eastAsia="zh-CN"/>
              </w:rPr>
              <w:t>，</w:t>
            </w:r>
            <w:r>
              <w:rPr>
                <w:rFonts w:hint="eastAsia"/>
                <w:color w:val="auto"/>
                <w:highlight w:val="none"/>
                <w:lang w:val="en-US" w:eastAsia="zh-CN"/>
              </w:rPr>
              <w:t>位于大带河左岸</w:t>
            </w:r>
            <w:r>
              <w:rPr>
                <w:rFonts w:hint="eastAsia"/>
                <w:color w:val="auto"/>
                <w:highlight w:val="none"/>
              </w:rPr>
              <w:t>。</w:t>
            </w:r>
            <w:r>
              <w:rPr>
                <w:rFonts w:hint="eastAsia"/>
                <w:color w:val="auto"/>
                <w:highlight w:val="none"/>
                <w:lang w:val="en-US" w:eastAsia="zh-CN"/>
              </w:rPr>
              <w:t>堤防桩号</w:t>
            </w:r>
            <w:r>
              <w:rPr>
                <w:rFonts w:hint="eastAsia"/>
                <w:color w:val="auto"/>
                <w:highlight w:val="none"/>
              </w:rPr>
              <w:t>0+</w:t>
            </w:r>
            <w:r>
              <w:rPr>
                <w:rFonts w:hint="eastAsia"/>
                <w:color w:val="auto"/>
                <w:highlight w:val="none"/>
                <w:lang w:val="en-US" w:eastAsia="zh-CN"/>
              </w:rPr>
              <w:t>34</w:t>
            </w:r>
            <w:r>
              <w:rPr>
                <w:rFonts w:hint="eastAsia"/>
                <w:color w:val="auto"/>
                <w:highlight w:val="none"/>
              </w:rPr>
              <w:t>0～</w:t>
            </w:r>
            <w:r>
              <w:rPr>
                <w:rFonts w:hint="eastAsia"/>
                <w:color w:val="auto"/>
                <w:highlight w:val="none"/>
                <w:lang w:val="en-US" w:eastAsia="zh-CN"/>
              </w:rPr>
              <w:t>2</w:t>
            </w:r>
            <w:r>
              <w:rPr>
                <w:rFonts w:hint="eastAsia"/>
                <w:color w:val="auto"/>
                <w:highlight w:val="none"/>
              </w:rPr>
              <w:t>+</w:t>
            </w:r>
            <w:r>
              <w:rPr>
                <w:rFonts w:hint="eastAsia"/>
                <w:color w:val="auto"/>
                <w:highlight w:val="none"/>
                <w:lang w:val="en-US" w:eastAsia="zh-CN"/>
              </w:rPr>
              <w:t>800</w:t>
            </w:r>
            <w:r>
              <w:rPr>
                <w:rFonts w:hint="eastAsia"/>
                <w:color w:val="auto"/>
                <w:highlight w:val="none"/>
              </w:rPr>
              <w:t>段</w:t>
            </w:r>
            <w:r>
              <w:rPr>
                <w:rFonts w:hint="eastAsia"/>
                <w:color w:val="auto"/>
                <w:highlight w:val="none"/>
                <w:lang w:eastAsia="zh-CN"/>
              </w:rPr>
              <w:t>，</w:t>
            </w:r>
            <w:r>
              <w:rPr>
                <w:rFonts w:hint="eastAsia"/>
                <w:color w:val="auto"/>
                <w:highlight w:val="none"/>
                <w:lang w:val="en-US" w:eastAsia="zh-CN"/>
              </w:rPr>
              <w:t>迎水侧填塘1.86km</w:t>
            </w:r>
            <w:r>
              <w:rPr>
                <w:rFonts w:hint="eastAsia"/>
                <w:color w:val="auto"/>
                <w:highlight w:val="none"/>
              </w:rPr>
              <w:t>。</w:t>
            </w:r>
            <w:r>
              <w:rPr>
                <w:rFonts w:hint="eastAsia"/>
                <w:color w:val="auto"/>
                <w:highlight w:val="none"/>
                <w:lang w:val="en-US" w:eastAsia="en-US"/>
              </w:rPr>
              <w:t>在现有防洪工程的基础上，通过新建</w:t>
            </w:r>
            <w:r>
              <w:rPr>
                <w:rFonts w:hint="eastAsia"/>
                <w:color w:val="auto"/>
                <w:highlight w:val="none"/>
                <w:lang w:val="en-US" w:eastAsia="zh-CN"/>
              </w:rPr>
              <w:t>堤防护坡</w:t>
            </w:r>
            <w:r>
              <w:rPr>
                <w:rFonts w:hint="eastAsia"/>
                <w:color w:val="auto"/>
                <w:highlight w:val="none"/>
                <w:lang w:val="en-US" w:eastAsia="en-US"/>
              </w:rPr>
              <w:t>工程</w:t>
            </w:r>
            <w:r>
              <w:rPr>
                <w:rFonts w:hint="eastAsia"/>
                <w:color w:val="auto"/>
                <w:highlight w:val="none"/>
                <w:lang w:val="en-US" w:eastAsia="zh-CN"/>
              </w:rPr>
              <w:t>，有效提高堤防洪水防御能力，</w:t>
            </w:r>
            <w:r>
              <w:rPr>
                <w:rFonts w:hint="eastAsia"/>
                <w:color w:val="auto"/>
                <w:highlight w:val="none"/>
                <w:lang w:val="en-US" w:eastAsia="en-US"/>
              </w:rPr>
              <w:t>保证区内人民的生命财产和基本农田</w:t>
            </w:r>
            <w:r>
              <w:rPr>
                <w:rFonts w:hint="eastAsia"/>
                <w:color w:val="auto"/>
                <w:highlight w:val="none"/>
                <w:lang w:val="en-US" w:eastAsia="zh-CN"/>
              </w:rPr>
              <w:t>安全，为</w:t>
            </w:r>
            <w:r>
              <w:rPr>
                <w:rFonts w:hint="eastAsia"/>
                <w:color w:val="auto"/>
                <w:highlight w:val="none"/>
                <w:lang w:val="en-US" w:eastAsia="en-US"/>
              </w:rPr>
              <w:t>人民群众安居乐业，保护耕地，发展农村经济。</w:t>
            </w:r>
          </w:p>
          <w:p w14:paraId="490FB2DC">
            <w:pPr>
              <w:pStyle w:val="56"/>
              <w:ind w:firstLine="420"/>
              <w:rPr>
                <w:color w:val="auto"/>
                <w:highlight w:val="none"/>
              </w:rPr>
            </w:pPr>
            <w:r>
              <w:rPr>
                <w:rFonts w:hint="eastAsia"/>
                <w:color w:val="auto"/>
                <w:highlight w:val="none"/>
              </w:rPr>
              <w:t>二、工程建设内容</w:t>
            </w:r>
          </w:p>
          <w:p w14:paraId="0071DF0B">
            <w:pPr>
              <w:pStyle w:val="56"/>
              <w:ind w:firstLine="420"/>
              <w:rPr>
                <w:color w:val="auto"/>
                <w:highlight w:val="none"/>
              </w:rPr>
            </w:pPr>
            <w:r>
              <w:rPr>
                <w:rFonts w:hint="eastAsia"/>
                <w:color w:val="auto"/>
                <w:highlight w:val="none"/>
              </w:rPr>
              <w:t>本项目建设内容主要为</w:t>
            </w:r>
            <w:r>
              <w:rPr>
                <w:rFonts w:hint="eastAsia"/>
                <w:color w:val="auto"/>
                <w:highlight w:val="none"/>
                <w:lang w:eastAsia="zh-CN"/>
              </w:rPr>
              <w:t>堤防护坡</w:t>
            </w:r>
            <w:r>
              <w:rPr>
                <w:rFonts w:hint="eastAsia"/>
                <w:color w:val="auto"/>
                <w:highlight w:val="none"/>
              </w:rPr>
              <w:t>工程，</w:t>
            </w:r>
            <w:r>
              <w:rPr>
                <w:rFonts w:hint="eastAsia"/>
                <w:color w:val="auto"/>
                <w:highlight w:val="none"/>
                <w:lang w:val="en-US" w:eastAsia="zh-CN"/>
              </w:rPr>
              <w:t>本次设计堤防</w:t>
            </w:r>
            <w:r>
              <w:rPr>
                <w:rFonts w:hint="eastAsia"/>
                <w:color w:val="auto"/>
                <w:highlight w:val="none"/>
              </w:rPr>
              <w:t>防洪标准</w:t>
            </w:r>
            <w:r>
              <w:rPr>
                <w:rFonts w:hint="eastAsia"/>
                <w:color w:val="auto"/>
                <w:highlight w:val="none"/>
                <w:lang w:val="en-US" w:eastAsia="zh-CN"/>
              </w:rPr>
              <w:t>为20</w:t>
            </w:r>
            <w:r>
              <w:rPr>
                <w:rFonts w:hint="eastAsia"/>
                <w:color w:val="auto"/>
                <w:highlight w:val="none"/>
              </w:rPr>
              <w:t>年一遇洪水标准</w:t>
            </w:r>
            <w:r>
              <w:rPr>
                <w:rFonts w:hint="eastAsia"/>
                <w:color w:val="auto"/>
                <w:highlight w:val="none"/>
                <w:lang w:eastAsia="zh-CN"/>
              </w:rPr>
              <w:t>。</w:t>
            </w:r>
            <w:r>
              <w:rPr>
                <w:rFonts w:hint="eastAsia"/>
                <w:color w:val="auto"/>
                <w:highlight w:val="none"/>
              </w:rPr>
              <w:t>主要工程组成一览表见下表。</w:t>
            </w:r>
          </w:p>
          <w:p w14:paraId="65DBB5BB">
            <w:pPr>
              <w:pStyle w:val="55"/>
              <w:rPr>
                <w:color w:val="auto"/>
                <w:highlight w:val="none"/>
              </w:rPr>
            </w:pPr>
            <w:r>
              <w:rPr>
                <w:color w:val="auto"/>
                <w:highlight w:val="none"/>
              </w:rPr>
              <w:t xml:space="preserve">表2-1 </w:t>
            </w:r>
            <w:r>
              <w:rPr>
                <w:rFonts w:hint="eastAsia"/>
                <w:color w:val="auto"/>
                <w:highlight w:val="none"/>
              </w:rPr>
              <w:t>工程内容一览表</w:t>
            </w:r>
          </w:p>
          <w:tbl>
            <w:tblPr>
              <w:tblStyle w:val="2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9"/>
              <w:gridCol w:w="567"/>
              <w:gridCol w:w="1510"/>
              <w:gridCol w:w="5057"/>
            </w:tblGrid>
            <w:tr w14:paraId="1F2D5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6" w:type="dxa"/>
                  <w:gridSpan w:val="3"/>
                  <w:vAlign w:val="center"/>
                </w:tcPr>
                <w:p w14:paraId="38D7C08B">
                  <w:pPr>
                    <w:pStyle w:val="51"/>
                    <w:rPr>
                      <w:color w:val="auto"/>
                      <w:highlight w:val="none"/>
                    </w:rPr>
                  </w:pPr>
                  <w:r>
                    <w:rPr>
                      <w:rFonts w:hint="eastAsia"/>
                      <w:color w:val="auto"/>
                      <w:highlight w:val="none"/>
                    </w:rPr>
                    <w:t>项目组成</w:t>
                  </w:r>
                </w:p>
              </w:tc>
              <w:tc>
                <w:tcPr>
                  <w:tcW w:w="5057" w:type="dxa"/>
                  <w:vAlign w:val="center"/>
                </w:tcPr>
                <w:p w14:paraId="480266C4">
                  <w:pPr>
                    <w:pStyle w:val="51"/>
                    <w:rPr>
                      <w:color w:val="auto"/>
                      <w:highlight w:val="none"/>
                    </w:rPr>
                  </w:pPr>
                  <w:r>
                    <w:rPr>
                      <w:rFonts w:hint="eastAsia"/>
                      <w:color w:val="auto"/>
                      <w:highlight w:val="none"/>
                    </w:rPr>
                    <w:t>主要技术指标</w:t>
                  </w:r>
                </w:p>
              </w:tc>
            </w:tr>
            <w:tr w14:paraId="14BED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restart"/>
                  <w:vAlign w:val="center"/>
                </w:tcPr>
                <w:p w14:paraId="2994E571">
                  <w:pPr>
                    <w:pStyle w:val="51"/>
                    <w:rPr>
                      <w:color w:val="auto"/>
                      <w:highlight w:val="none"/>
                    </w:rPr>
                  </w:pPr>
                  <w:r>
                    <w:rPr>
                      <w:rFonts w:hint="eastAsia"/>
                      <w:color w:val="auto"/>
                      <w:highlight w:val="none"/>
                    </w:rPr>
                    <w:t>主体工程</w:t>
                  </w:r>
                </w:p>
              </w:tc>
              <w:tc>
                <w:tcPr>
                  <w:tcW w:w="1510" w:type="dxa"/>
                  <w:vAlign w:val="center"/>
                </w:tcPr>
                <w:p w14:paraId="5032EECD">
                  <w:pPr>
                    <w:pStyle w:val="51"/>
                    <w:rPr>
                      <w:color w:val="auto"/>
                      <w:highlight w:val="none"/>
                    </w:rPr>
                  </w:pPr>
                  <w:r>
                    <w:rPr>
                      <w:rFonts w:hint="eastAsia"/>
                      <w:color w:val="auto"/>
                      <w:highlight w:val="none"/>
                      <w:lang w:eastAsia="zh-CN"/>
                    </w:rPr>
                    <w:t>堤防护坡</w:t>
                  </w:r>
                  <w:r>
                    <w:rPr>
                      <w:rFonts w:hint="eastAsia"/>
                      <w:color w:val="auto"/>
                      <w:highlight w:val="none"/>
                    </w:rPr>
                    <w:t>工程</w:t>
                  </w:r>
                </w:p>
              </w:tc>
              <w:tc>
                <w:tcPr>
                  <w:tcW w:w="5057" w:type="dxa"/>
                  <w:vAlign w:val="center"/>
                </w:tcPr>
                <w:p w14:paraId="56944724">
                  <w:pPr>
                    <w:pStyle w:val="51"/>
                    <w:jc w:val="both"/>
                    <w:rPr>
                      <w:rFonts w:hint="eastAsia"/>
                      <w:color w:val="auto"/>
                      <w:highlight w:val="none"/>
                      <w:lang w:val="en-US" w:eastAsia="zh-CN"/>
                    </w:rPr>
                  </w:pPr>
                  <w:r>
                    <w:rPr>
                      <w:rFonts w:hint="eastAsia"/>
                      <w:color w:val="auto"/>
                      <w:highlight w:val="none"/>
                      <w:lang w:val="en-US" w:eastAsia="zh-CN"/>
                    </w:rPr>
                    <w:t>共新建堤防护坡工程1段，总长1.86km，位于大带河左岸。堤防桩号0+340～2+800段，迎水侧填塘1.86km。</w:t>
                  </w:r>
                </w:p>
                <w:p w14:paraId="653ACD35">
                  <w:pPr>
                    <w:pStyle w:val="51"/>
                    <w:jc w:val="both"/>
                    <w:rPr>
                      <w:color w:val="auto"/>
                      <w:highlight w:val="none"/>
                    </w:rPr>
                  </w:pPr>
                  <w:r>
                    <w:rPr>
                      <w:rFonts w:hint="eastAsia"/>
                      <w:color w:val="auto"/>
                      <w:highlight w:val="none"/>
                      <w:lang w:val="en-US" w:eastAsia="zh-CN"/>
                    </w:rPr>
                    <w:t>堤防护坡</w:t>
                  </w:r>
                  <w:r>
                    <w:rPr>
                      <w:rFonts w:hint="eastAsia"/>
                      <w:color w:val="auto"/>
                      <w:highlight w:val="none"/>
                    </w:rPr>
                    <w:t>采用</w:t>
                  </w:r>
                  <w:r>
                    <w:rPr>
                      <w:rFonts w:hint="eastAsia"/>
                      <w:color w:val="auto"/>
                      <w:highlight w:val="none"/>
                      <w:lang w:val="en-US" w:eastAsia="zh-CN"/>
                    </w:rPr>
                    <w:t>23</w:t>
                  </w:r>
                  <w:r>
                    <w:rPr>
                      <w:rFonts w:hint="eastAsia"/>
                      <w:color w:val="auto"/>
                      <w:highlight w:val="none"/>
                    </w:rPr>
                    <w:t>cm的</w:t>
                  </w:r>
                  <w:r>
                    <w:rPr>
                      <w:rFonts w:hint="eastAsia"/>
                      <w:color w:val="auto"/>
                      <w:highlight w:val="none"/>
                      <w:lang w:val="en-US" w:eastAsia="zh-CN"/>
                    </w:rPr>
                    <w:t>雷诺护垫</w:t>
                  </w:r>
                  <w:r>
                    <w:rPr>
                      <w:rFonts w:hint="eastAsia"/>
                      <w:color w:val="auto"/>
                      <w:highlight w:val="none"/>
                    </w:rPr>
                    <w:t>护坡，下设砂砾石垫层10cm和土工膜一层</w:t>
                  </w:r>
                  <w:r>
                    <w:rPr>
                      <w:color w:val="auto"/>
                      <w:highlight w:val="none"/>
                    </w:rPr>
                    <w:t>。</w:t>
                  </w:r>
                </w:p>
                <w:p w14:paraId="1C102864">
                  <w:pPr>
                    <w:pStyle w:val="51"/>
                    <w:jc w:val="both"/>
                    <w:rPr>
                      <w:color w:val="auto"/>
                      <w:highlight w:val="none"/>
                    </w:rPr>
                  </w:pPr>
                  <w:r>
                    <w:rPr>
                      <w:color w:val="auto"/>
                      <w:highlight w:val="none"/>
                    </w:rPr>
                    <w:t>护坡顶高程同堤顶，护坡顶部设置封顶，雷诺护垫护坡采用护垫水平延伸50cm。护坡段堤脚设置</w:t>
                  </w:r>
                  <w:r>
                    <w:rPr>
                      <w:rFonts w:hint="eastAsia"/>
                      <w:color w:val="auto"/>
                      <w:highlight w:val="none"/>
                      <w:lang w:val="en-US" w:eastAsia="zh-CN"/>
                    </w:rPr>
                    <w:t>格宾石笼护脚</w:t>
                  </w:r>
                  <w:r>
                    <w:rPr>
                      <w:color w:val="auto"/>
                      <w:highlight w:val="none"/>
                    </w:rPr>
                    <w:t>，结合冲刷深度计算，护脚</w:t>
                  </w:r>
                  <w:r>
                    <w:rPr>
                      <w:rFonts w:hint="eastAsia"/>
                      <w:color w:val="auto"/>
                      <w:highlight w:val="none"/>
                      <w:lang w:val="en-US" w:eastAsia="zh-CN"/>
                    </w:rPr>
                    <w:t>宽度4m，厚度40cm，</w:t>
                  </w:r>
                  <w:r>
                    <w:rPr>
                      <w:rFonts w:hint="eastAsia"/>
                      <w:color w:val="auto"/>
                      <w:highlight w:val="none"/>
                    </w:rPr>
                    <w:t>下设砂砾石垫层10cm和土工膜一层</w:t>
                  </w:r>
                  <w:r>
                    <w:rPr>
                      <w:color w:val="auto"/>
                      <w:highlight w:val="none"/>
                    </w:rPr>
                    <w:t>。</w:t>
                  </w:r>
                </w:p>
              </w:tc>
            </w:tr>
            <w:tr w14:paraId="2D735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7FB5ED97">
                  <w:pPr>
                    <w:pStyle w:val="51"/>
                    <w:rPr>
                      <w:rFonts w:hint="eastAsia"/>
                      <w:color w:val="auto"/>
                      <w:highlight w:val="none"/>
                    </w:rPr>
                  </w:pPr>
                </w:p>
              </w:tc>
              <w:tc>
                <w:tcPr>
                  <w:tcW w:w="1510" w:type="dxa"/>
                  <w:vAlign w:val="center"/>
                </w:tcPr>
                <w:p w14:paraId="3D12EFD4">
                  <w:pPr>
                    <w:adjustRightInd w:val="0"/>
                    <w:snapToGrid w:val="0"/>
                    <w:jc w:val="center"/>
                    <w:rPr>
                      <w:rFonts w:hint="eastAsia" w:ascii="Times New Roman" w:hAnsi="Times New Roman" w:eastAsia="宋体" w:cs="Times New Roman"/>
                      <w:color w:val="auto"/>
                      <w:kern w:val="0"/>
                      <w:sz w:val="18"/>
                      <w:szCs w:val="20"/>
                      <w:highlight w:val="none"/>
                      <w:lang w:val="en-US" w:eastAsia="zh-CN" w:bidi="ar-SA"/>
                    </w:rPr>
                  </w:pPr>
                  <w:r>
                    <w:rPr>
                      <w:rFonts w:hint="eastAsia" w:ascii="Times New Roman" w:hAnsi="Times New Roman" w:eastAsia="宋体" w:cs="Times New Roman"/>
                      <w:color w:val="auto"/>
                      <w:kern w:val="0"/>
                      <w:sz w:val="18"/>
                      <w:szCs w:val="20"/>
                      <w:highlight w:val="none"/>
                      <w:lang w:val="en-US" w:eastAsia="zh-CN" w:bidi="ar-SA"/>
                    </w:rPr>
                    <w:t>填塘工程</w:t>
                  </w:r>
                </w:p>
              </w:tc>
              <w:tc>
                <w:tcPr>
                  <w:tcW w:w="5057" w:type="dxa"/>
                  <w:vAlign w:val="center"/>
                </w:tcPr>
                <w:p w14:paraId="0B2D3CDA">
                  <w:pPr>
                    <w:adjustRightInd w:val="0"/>
                    <w:snapToGrid w:val="0"/>
                    <w:rPr>
                      <w:rFonts w:hint="default" w:ascii="Times New Roman" w:hAnsi="Times New Roman" w:eastAsia="宋体" w:cs="Times New Roman"/>
                      <w:color w:val="auto"/>
                      <w:kern w:val="0"/>
                      <w:sz w:val="18"/>
                      <w:szCs w:val="20"/>
                      <w:highlight w:val="none"/>
                      <w:lang w:val="en-US" w:eastAsia="zh-CN" w:bidi="ar-SA"/>
                    </w:rPr>
                  </w:pPr>
                  <w:r>
                    <w:rPr>
                      <w:rFonts w:hint="eastAsia" w:cs="Times New Roman"/>
                      <w:color w:val="auto"/>
                      <w:kern w:val="0"/>
                      <w:sz w:val="18"/>
                      <w:szCs w:val="20"/>
                      <w:highlight w:val="none"/>
                      <w:lang w:val="en-US" w:eastAsia="zh-CN" w:bidi="ar-SA"/>
                    </w:rPr>
                    <w:t>迎水侧坑塘为</w:t>
                  </w:r>
                  <w:r>
                    <w:rPr>
                      <w:rFonts w:hint="eastAsia" w:ascii="Times New Roman" w:hAnsi="Times New Roman" w:eastAsia="宋体" w:cs="Times New Roman"/>
                      <w:color w:val="auto"/>
                      <w:kern w:val="0"/>
                      <w:sz w:val="18"/>
                      <w:szCs w:val="20"/>
                      <w:highlight w:val="none"/>
                      <w:lang w:val="en-US" w:eastAsia="zh-CN" w:bidi="ar-SA"/>
                    </w:rPr>
                    <w:t>汛期防汛临时取土形成的沟道，基本无积水</w:t>
                  </w:r>
                  <w:r>
                    <w:rPr>
                      <w:rFonts w:hint="eastAsia" w:cs="Times New Roman"/>
                      <w:color w:val="auto"/>
                      <w:kern w:val="0"/>
                      <w:sz w:val="18"/>
                      <w:szCs w:val="20"/>
                      <w:highlight w:val="none"/>
                      <w:lang w:val="en-US" w:eastAsia="zh-CN" w:bidi="ar-SA"/>
                    </w:rPr>
                    <w:t>。将开挖料及削坡土方利用至回填。</w:t>
                  </w:r>
                </w:p>
              </w:tc>
            </w:tr>
            <w:tr w14:paraId="474E7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restart"/>
                  <w:vAlign w:val="center"/>
                </w:tcPr>
                <w:p w14:paraId="7933DF0A">
                  <w:pPr>
                    <w:pStyle w:val="51"/>
                    <w:rPr>
                      <w:color w:val="auto"/>
                      <w:highlight w:val="none"/>
                    </w:rPr>
                  </w:pPr>
                  <w:r>
                    <w:rPr>
                      <w:rFonts w:hint="eastAsia"/>
                      <w:color w:val="auto"/>
                      <w:highlight w:val="none"/>
                    </w:rPr>
                    <w:t>辅助工程</w:t>
                  </w:r>
                </w:p>
              </w:tc>
              <w:tc>
                <w:tcPr>
                  <w:tcW w:w="1510" w:type="dxa"/>
                  <w:vAlign w:val="center"/>
                </w:tcPr>
                <w:p w14:paraId="56008B3A">
                  <w:pPr>
                    <w:adjustRightInd w:val="0"/>
                    <w:snapToGrid w:val="0"/>
                    <w:jc w:val="center"/>
                    <w:rPr>
                      <w:color w:val="auto"/>
                      <w:sz w:val="18"/>
                      <w:szCs w:val="18"/>
                      <w:highlight w:val="none"/>
                    </w:rPr>
                  </w:pPr>
                  <w:r>
                    <w:rPr>
                      <w:color w:val="auto"/>
                      <w:sz w:val="18"/>
                      <w:szCs w:val="18"/>
                      <w:highlight w:val="none"/>
                    </w:rPr>
                    <w:t>交通运输</w:t>
                  </w:r>
                </w:p>
              </w:tc>
              <w:tc>
                <w:tcPr>
                  <w:tcW w:w="5057" w:type="dxa"/>
                  <w:vAlign w:val="center"/>
                </w:tcPr>
                <w:p w14:paraId="57095189">
                  <w:pPr>
                    <w:pStyle w:val="99"/>
                    <w:ind w:right="0" w:rightChars="0" w:firstLine="0" w:firstLineChars="0"/>
                    <w:rPr>
                      <w:rFonts w:ascii="Times New Roman" w:hAnsi="Times New Roman" w:eastAsia="宋体" w:cs="Times New Roman"/>
                      <w:color w:val="auto"/>
                      <w:kern w:val="0"/>
                      <w:sz w:val="18"/>
                      <w:szCs w:val="20"/>
                      <w:highlight w:val="none"/>
                      <w:lang w:val="en-US" w:eastAsia="zh-CN" w:bidi="ar-SA"/>
                    </w:rPr>
                  </w:pPr>
                  <w:r>
                    <w:rPr>
                      <w:rFonts w:hint="eastAsia" w:ascii="Times New Roman" w:hAnsi="Times New Roman" w:eastAsia="宋体" w:cs="Times New Roman"/>
                      <w:color w:val="auto"/>
                      <w:kern w:val="0"/>
                      <w:sz w:val="18"/>
                      <w:szCs w:val="20"/>
                      <w:highlight w:val="none"/>
                      <w:lang w:val="en-US" w:eastAsia="zh-CN" w:bidi="ar-SA"/>
                    </w:rPr>
                    <w:t>对外交通</w:t>
                  </w:r>
                  <w:r>
                    <w:rPr>
                      <w:rFonts w:ascii="Times New Roman" w:hAnsi="Times New Roman" w:eastAsia="宋体" w:cs="Times New Roman"/>
                      <w:color w:val="auto"/>
                      <w:kern w:val="0"/>
                      <w:sz w:val="18"/>
                      <w:szCs w:val="20"/>
                      <w:highlight w:val="none"/>
                      <w:lang w:val="en-US" w:eastAsia="zh-CN" w:bidi="ar-SA"/>
                    </w:rPr>
                    <w:t>非常便利，有省道G331</w:t>
                  </w:r>
                  <w:r>
                    <w:rPr>
                      <w:rFonts w:hint="eastAsia" w:ascii="Times New Roman" w:hAnsi="Times New Roman" w:eastAsia="宋体" w:cs="Times New Roman"/>
                      <w:color w:val="auto"/>
                      <w:kern w:val="0"/>
                      <w:sz w:val="18"/>
                      <w:szCs w:val="20"/>
                      <w:highlight w:val="none"/>
                      <w:lang w:val="en-US" w:eastAsia="zh-CN" w:bidi="ar-SA"/>
                    </w:rPr>
                    <w:t>，G</w:t>
                  </w:r>
                  <w:r>
                    <w:rPr>
                      <w:rFonts w:ascii="Times New Roman" w:hAnsi="Times New Roman" w:eastAsia="宋体" w:cs="Times New Roman"/>
                      <w:color w:val="auto"/>
                      <w:kern w:val="0"/>
                      <w:sz w:val="18"/>
                      <w:szCs w:val="20"/>
                      <w:highlight w:val="none"/>
                      <w:lang w:val="en-US" w:eastAsia="zh-CN" w:bidi="ar-SA"/>
                    </w:rPr>
                    <w:t>229</w:t>
                  </w:r>
                  <w:r>
                    <w:rPr>
                      <w:rFonts w:hint="eastAsia" w:ascii="Times New Roman" w:hAnsi="Times New Roman" w:eastAsia="宋体" w:cs="Times New Roman"/>
                      <w:color w:val="auto"/>
                      <w:kern w:val="0"/>
                      <w:sz w:val="18"/>
                      <w:szCs w:val="20"/>
                      <w:highlight w:val="none"/>
                      <w:lang w:val="en-US" w:eastAsia="zh-CN" w:bidi="ar-SA"/>
                    </w:rPr>
                    <w:t>横贯境内</w:t>
                  </w:r>
                  <w:r>
                    <w:rPr>
                      <w:rFonts w:ascii="Times New Roman" w:hAnsi="Times New Roman" w:eastAsia="宋体" w:cs="Times New Roman"/>
                      <w:color w:val="auto"/>
                      <w:kern w:val="0"/>
                      <w:sz w:val="18"/>
                      <w:szCs w:val="20"/>
                      <w:highlight w:val="none"/>
                      <w:lang w:val="en-US" w:eastAsia="zh-CN" w:bidi="ar-SA"/>
                    </w:rPr>
                    <w:t>。</w:t>
                  </w:r>
                  <w:r>
                    <w:rPr>
                      <w:rFonts w:hint="eastAsia" w:ascii="Times New Roman" w:hAnsi="Times New Roman" w:eastAsia="宋体" w:cs="Times New Roman"/>
                      <w:color w:val="auto"/>
                      <w:kern w:val="0"/>
                      <w:sz w:val="18"/>
                      <w:szCs w:val="20"/>
                      <w:highlight w:val="none"/>
                      <w:lang w:val="en-US" w:eastAsia="zh-CN" w:bidi="ar-SA"/>
                    </w:rPr>
                    <w:t>本工程场内交通为利用现状堤顶路运输方式，不新增临时道路。</w:t>
                  </w:r>
                </w:p>
              </w:tc>
            </w:tr>
            <w:tr w14:paraId="056B7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7A666038">
                  <w:pPr>
                    <w:pStyle w:val="51"/>
                    <w:rPr>
                      <w:rFonts w:hint="eastAsia"/>
                      <w:color w:val="auto"/>
                      <w:highlight w:val="none"/>
                    </w:rPr>
                  </w:pPr>
                </w:p>
              </w:tc>
              <w:tc>
                <w:tcPr>
                  <w:tcW w:w="1510" w:type="dxa"/>
                  <w:vAlign w:val="center"/>
                </w:tcPr>
                <w:p w14:paraId="13809FD0">
                  <w:pPr>
                    <w:adjustRightInd w:val="0"/>
                    <w:snapToGrid w:val="0"/>
                    <w:jc w:val="center"/>
                    <w:rPr>
                      <w:color w:val="FF0000"/>
                      <w:sz w:val="18"/>
                      <w:szCs w:val="18"/>
                      <w:highlight w:val="none"/>
                    </w:rPr>
                  </w:pPr>
                  <w:r>
                    <w:rPr>
                      <w:color w:val="auto"/>
                      <w:sz w:val="18"/>
                      <w:szCs w:val="18"/>
                      <w:highlight w:val="none"/>
                    </w:rPr>
                    <w:t>建</w:t>
                  </w:r>
                  <w:r>
                    <w:rPr>
                      <w:rFonts w:hint="eastAsia"/>
                      <w:color w:val="auto"/>
                      <w:sz w:val="18"/>
                      <w:szCs w:val="18"/>
                      <w:highlight w:val="none"/>
                    </w:rPr>
                    <w:t>筑</w:t>
                  </w:r>
                  <w:r>
                    <w:rPr>
                      <w:color w:val="auto"/>
                      <w:sz w:val="18"/>
                      <w:szCs w:val="18"/>
                      <w:highlight w:val="none"/>
                    </w:rPr>
                    <w:t>材料</w:t>
                  </w:r>
                </w:p>
              </w:tc>
              <w:tc>
                <w:tcPr>
                  <w:tcW w:w="5057" w:type="dxa"/>
                  <w:vAlign w:val="center"/>
                </w:tcPr>
                <w:p w14:paraId="659036BE">
                  <w:pPr>
                    <w:pStyle w:val="99"/>
                    <w:spacing w:line="240" w:lineRule="auto"/>
                    <w:ind w:right="0" w:rightChars="0" w:firstLine="0" w:firstLineChars="0"/>
                    <w:jc w:val="left"/>
                    <w:rPr>
                      <w:rFonts w:hint="eastAsia" w:ascii="Times New Roman" w:hAnsi="Times New Roman" w:eastAsia="宋体" w:cs="Times New Roman"/>
                      <w:color w:val="FF0000"/>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汽油、柴油由饶河县购买</w:t>
                  </w:r>
                  <w:r>
                    <w:rPr>
                      <w:rFonts w:hint="eastAsia" w:eastAsia="宋体" w:cs="Times New Roman"/>
                      <w:color w:val="auto"/>
                      <w:kern w:val="0"/>
                      <w:sz w:val="18"/>
                      <w:szCs w:val="18"/>
                      <w:highlight w:val="none"/>
                      <w:lang w:val="en-US" w:eastAsia="zh-CN" w:bidi="ar-SA"/>
                    </w:rPr>
                    <w:t>，生产区不贮存</w:t>
                  </w:r>
                  <w:r>
                    <w:rPr>
                      <w:rFonts w:hint="eastAsia" w:ascii="Times New Roman" w:hAnsi="Times New Roman" w:eastAsia="宋体" w:cs="Times New Roman"/>
                      <w:color w:val="auto"/>
                      <w:kern w:val="0"/>
                      <w:sz w:val="18"/>
                      <w:szCs w:val="18"/>
                      <w:highlight w:val="none"/>
                      <w:lang w:val="en-US" w:eastAsia="zh-CN" w:bidi="ar-SA"/>
                    </w:rPr>
                    <w:t>；砂砾料由饶河县三人班砂场提供，石料由三人班石场购买。</w:t>
                  </w:r>
                </w:p>
              </w:tc>
            </w:tr>
            <w:tr w14:paraId="5074F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66472263">
                  <w:pPr>
                    <w:pStyle w:val="51"/>
                    <w:rPr>
                      <w:rFonts w:hint="eastAsia"/>
                      <w:color w:val="auto"/>
                      <w:highlight w:val="none"/>
                    </w:rPr>
                  </w:pPr>
                </w:p>
              </w:tc>
              <w:tc>
                <w:tcPr>
                  <w:tcW w:w="1510" w:type="dxa"/>
                  <w:vAlign w:val="center"/>
                </w:tcPr>
                <w:p w14:paraId="2940E714">
                  <w:pPr>
                    <w:adjustRightInd w:val="0"/>
                    <w:snapToGrid w:val="0"/>
                    <w:jc w:val="center"/>
                    <w:rPr>
                      <w:color w:val="auto"/>
                      <w:sz w:val="18"/>
                      <w:szCs w:val="18"/>
                      <w:highlight w:val="none"/>
                    </w:rPr>
                  </w:pPr>
                  <w:r>
                    <w:rPr>
                      <w:color w:val="auto"/>
                      <w:sz w:val="18"/>
                      <w:szCs w:val="18"/>
                      <w:highlight w:val="none"/>
                    </w:rPr>
                    <w:t>工程占地</w:t>
                  </w:r>
                </w:p>
              </w:tc>
              <w:tc>
                <w:tcPr>
                  <w:tcW w:w="5057" w:type="dxa"/>
                  <w:vAlign w:val="center"/>
                </w:tcPr>
                <w:p w14:paraId="18ACEFF8">
                  <w:pPr>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工程永久征地为原堤防工程范围内，不涉及新增永久占地。</w:t>
                  </w:r>
                </w:p>
                <w:p w14:paraId="701AB381">
                  <w:pPr>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工程不新增临时占地，不涉及征地补偿及搬迁安置。</w:t>
                  </w:r>
                </w:p>
              </w:tc>
            </w:tr>
            <w:tr w14:paraId="30EE7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327269E2">
                  <w:pPr>
                    <w:pStyle w:val="51"/>
                    <w:rPr>
                      <w:rFonts w:hint="eastAsia"/>
                      <w:color w:val="auto"/>
                      <w:highlight w:val="none"/>
                    </w:rPr>
                  </w:pPr>
                </w:p>
              </w:tc>
              <w:tc>
                <w:tcPr>
                  <w:tcW w:w="1510" w:type="dxa"/>
                  <w:vAlign w:val="center"/>
                </w:tcPr>
                <w:p w14:paraId="31E9148E">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弃土场</w:t>
                  </w:r>
                </w:p>
              </w:tc>
              <w:tc>
                <w:tcPr>
                  <w:tcW w:w="5057" w:type="dxa"/>
                  <w:vAlign w:val="center"/>
                </w:tcPr>
                <w:p w14:paraId="02C54288">
                  <w:pPr>
                    <w:widowControl/>
                    <w:jc w:val="both"/>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挖方全部回填利用，故不设置弃土场。</w:t>
                  </w:r>
                </w:p>
              </w:tc>
            </w:tr>
            <w:tr w14:paraId="645D3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04880836">
                  <w:pPr>
                    <w:pStyle w:val="51"/>
                    <w:rPr>
                      <w:rFonts w:hint="eastAsia"/>
                      <w:color w:val="auto"/>
                      <w:highlight w:val="none"/>
                    </w:rPr>
                  </w:pPr>
                </w:p>
              </w:tc>
              <w:tc>
                <w:tcPr>
                  <w:tcW w:w="1510" w:type="dxa"/>
                  <w:vAlign w:val="center"/>
                </w:tcPr>
                <w:p w14:paraId="3D705F60">
                  <w:pPr>
                    <w:adjustRightInd w:val="0"/>
                    <w:snapToGrid w:val="0"/>
                    <w:jc w:val="center"/>
                    <w:rPr>
                      <w:color w:val="auto"/>
                      <w:sz w:val="18"/>
                      <w:szCs w:val="18"/>
                      <w:highlight w:val="none"/>
                    </w:rPr>
                  </w:pPr>
                  <w:r>
                    <w:rPr>
                      <w:color w:val="auto"/>
                      <w:sz w:val="18"/>
                      <w:szCs w:val="18"/>
                      <w:highlight w:val="none"/>
                    </w:rPr>
                    <w:t>施工生产、生活区</w:t>
                  </w:r>
                </w:p>
              </w:tc>
              <w:tc>
                <w:tcPr>
                  <w:tcW w:w="5057" w:type="dxa"/>
                  <w:vAlign w:val="center"/>
                </w:tcPr>
                <w:p w14:paraId="2D7436B2">
                  <w:pPr>
                    <w:adjustRightInd w:val="0"/>
                    <w:snapToGrid w:val="0"/>
                    <w:jc w:val="both"/>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本工程不新增生活区，新增施工人员租用附近房屋解决，施工现场生产区设置在现状堤防施工区域内。</w:t>
                  </w:r>
                </w:p>
              </w:tc>
            </w:tr>
            <w:tr w14:paraId="256EA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restart"/>
                  <w:vAlign w:val="center"/>
                </w:tcPr>
                <w:p w14:paraId="28727A88">
                  <w:pPr>
                    <w:pStyle w:val="51"/>
                    <w:rPr>
                      <w:color w:val="auto"/>
                      <w:highlight w:val="none"/>
                    </w:rPr>
                  </w:pPr>
                  <w:r>
                    <w:rPr>
                      <w:rFonts w:hint="eastAsia"/>
                      <w:color w:val="auto"/>
                      <w:highlight w:val="none"/>
                    </w:rPr>
                    <w:t>公用工程</w:t>
                  </w:r>
                </w:p>
              </w:tc>
              <w:tc>
                <w:tcPr>
                  <w:tcW w:w="1510" w:type="dxa"/>
                  <w:vAlign w:val="center"/>
                </w:tcPr>
                <w:p w14:paraId="4AD382AE">
                  <w:pPr>
                    <w:pStyle w:val="51"/>
                    <w:rPr>
                      <w:color w:val="auto"/>
                      <w:highlight w:val="none"/>
                    </w:rPr>
                  </w:pPr>
                  <w:r>
                    <w:rPr>
                      <w:rFonts w:hint="eastAsia"/>
                      <w:color w:val="auto"/>
                      <w:highlight w:val="none"/>
                    </w:rPr>
                    <w:t>供水</w:t>
                  </w:r>
                </w:p>
              </w:tc>
              <w:tc>
                <w:tcPr>
                  <w:tcW w:w="5057" w:type="dxa"/>
                  <w:vAlign w:val="center"/>
                </w:tcPr>
                <w:p w14:paraId="4BE1B45A">
                  <w:pPr>
                    <w:pStyle w:val="99"/>
                    <w:spacing w:line="240" w:lineRule="auto"/>
                    <w:ind w:firstLine="0"/>
                    <w:jc w:val="left"/>
                    <w:rPr>
                      <w:color w:val="auto"/>
                      <w:highlight w:val="none"/>
                    </w:rPr>
                  </w:pPr>
                  <w:r>
                    <w:rPr>
                      <w:rFonts w:hint="eastAsia" w:eastAsia="宋体"/>
                      <w:color w:val="auto"/>
                      <w:sz w:val="18"/>
                      <w:szCs w:val="18"/>
                      <w:highlight w:val="none"/>
                    </w:rPr>
                    <w:t>施工供水主要包括生活用水、生产用水。生活用水可充分利用沿线村屯内的自来水，生产用水</w:t>
                  </w:r>
                  <w:r>
                    <w:rPr>
                      <w:rFonts w:hint="eastAsia" w:eastAsia="宋体"/>
                      <w:color w:val="auto"/>
                      <w:sz w:val="18"/>
                      <w:szCs w:val="18"/>
                      <w:highlight w:val="none"/>
                      <w:lang w:val="en-US" w:eastAsia="zh-CN"/>
                    </w:rPr>
                    <w:t>为洒水降尘用水，</w:t>
                  </w:r>
                  <w:r>
                    <w:rPr>
                      <w:rFonts w:hint="eastAsia" w:eastAsia="宋体"/>
                      <w:color w:val="auto"/>
                      <w:sz w:val="18"/>
                      <w:szCs w:val="18"/>
                      <w:highlight w:val="none"/>
                    </w:rPr>
                    <w:t>可直接利用河水。</w:t>
                  </w:r>
                </w:p>
              </w:tc>
            </w:tr>
            <w:tr w14:paraId="288C2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208D093E">
                  <w:pPr>
                    <w:pStyle w:val="51"/>
                    <w:rPr>
                      <w:color w:val="auto"/>
                      <w:highlight w:val="none"/>
                    </w:rPr>
                  </w:pPr>
                </w:p>
              </w:tc>
              <w:tc>
                <w:tcPr>
                  <w:tcW w:w="1510" w:type="dxa"/>
                  <w:vAlign w:val="center"/>
                </w:tcPr>
                <w:p w14:paraId="5DA8591A">
                  <w:pPr>
                    <w:pStyle w:val="51"/>
                    <w:rPr>
                      <w:color w:val="auto"/>
                      <w:highlight w:val="none"/>
                    </w:rPr>
                  </w:pPr>
                  <w:r>
                    <w:rPr>
                      <w:rFonts w:hint="eastAsia"/>
                      <w:color w:val="auto"/>
                      <w:highlight w:val="none"/>
                    </w:rPr>
                    <w:t>排水</w:t>
                  </w:r>
                </w:p>
              </w:tc>
              <w:tc>
                <w:tcPr>
                  <w:tcW w:w="5057" w:type="dxa"/>
                  <w:vAlign w:val="center"/>
                </w:tcPr>
                <w:p w14:paraId="1E6F2286">
                  <w:pPr>
                    <w:pStyle w:val="51"/>
                    <w:jc w:val="both"/>
                    <w:rPr>
                      <w:rFonts w:hint="eastAsia" w:eastAsia="宋体"/>
                      <w:color w:val="auto"/>
                      <w:highlight w:val="none"/>
                      <w:lang w:eastAsia="zh-CN"/>
                    </w:rPr>
                  </w:pPr>
                  <w:r>
                    <w:rPr>
                      <w:rFonts w:hint="eastAsia"/>
                      <w:color w:val="auto"/>
                      <w:highlight w:val="none"/>
                    </w:rPr>
                    <w:t>施工期</w:t>
                  </w:r>
                  <w:r>
                    <w:rPr>
                      <w:rFonts w:hint="eastAsia"/>
                      <w:color w:val="auto"/>
                      <w:highlight w:val="none"/>
                      <w:lang w:val="en-US" w:eastAsia="zh-CN"/>
                    </w:rPr>
                    <w:t>现场</w:t>
                  </w:r>
                  <w:r>
                    <w:rPr>
                      <w:rFonts w:hint="eastAsia" w:ascii="Times New Roman" w:hAnsi="Times New Roman" w:eastAsia="宋体" w:cs="Times New Roman"/>
                      <w:color w:val="auto"/>
                      <w:kern w:val="0"/>
                      <w:sz w:val="18"/>
                      <w:szCs w:val="18"/>
                      <w:highlight w:val="none"/>
                      <w:lang w:val="en-US" w:eastAsia="zh-CN" w:bidi="ar-SA"/>
                    </w:rPr>
                    <w:t>生产区</w:t>
                  </w:r>
                  <w:r>
                    <w:rPr>
                      <w:color w:val="auto"/>
                      <w:highlight w:val="none"/>
                    </w:rPr>
                    <w:t>生活污水集中排入自建的临时防渗旱厕，定期清掏</w:t>
                  </w:r>
                  <w:r>
                    <w:rPr>
                      <w:rFonts w:hint="eastAsia"/>
                      <w:color w:val="auto"/>
                      <w:highlight w:val="none"/>
                      <w:lang w:val="en-US" w:eastAsia="zh-CN"/>
                    </w:rPr>
                    <w:t>堆肥</w:t>
                  </w:r>
                  <w:r>
                    <w:rPr>
                      <w:rFonts w:hint="eastAsia"/>
                      <w:color w:val="auto"/>
                      <w:highlight w:val="none"/>
                      <w:lang w:eastAsia="zh-CN"/>
                    </w:rPr>
                    <w:t>。</w:t>
                  </w:r>
                  <w:r>
                    <w:rPr>
                      <w:rFonts w:hint="eastAsia"/>
                      <w:szCs w:val="21"/>
                      <w:highlight w:val="none"/>
                    </w:rPr>
                    <w:t>运营期无废水排放。</w:t>
                  </w:r>
                </w:p>
              </w:tc>
            </w:tr>
            <w:tr w14:paraId="2B9B0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24BEF66B">
                  <w:pPr>
                    <w:pStyle w:val="51"/>
                    <w:rPr>
                      <w:color w:val="auto"/>
                      <w:highlight w:val="none"/>
                    </w:rPr>
                  </w:pPr>
                </w:p>
              </w:tc>
              <w:tc>
                <w:tcPr>
                  <w:tcW w:w="1510" w:type="dxa"/>
                  <w:vAlign w:val="center"/>
                </w:tcPr>
                <w:p w14:paraId="4D002F8D">
                  <w:pPr>
                    <w:pStyle w:val="51"/>
                    <w:rPr>
                      <w:color w:val="auto"/>
                      <w:highlight w:val="none"/>
                    </w:rPr>
                  </w:pPr>
                  <w:r>
                    <w:rPr>
                      <w:rFonts w:hint="eastAsia"/>
                      <w:color w:val="auto"/>
                      <w:highlight w:val="none"/>
                    </w:rPr>
                    <w:t>供电</w:t>
                  </w:r>
                </w:p>
              </w:tc>
              <w:tc>
                <w:tcPr>
                  <w:tcW w:w="5057" w:type="dxa"/>
                  <w:vAlign w:val="center"/>
                </w:tcPr>
                <w:p w14:paraId="1B2D1568">
                  <w:pPr>
                    <w:pStyle w:val="51"/>
                    <w:jc w:val="both"/>
                    <w:rPr>
                      <w:color w:val="auto"/>
                      <w:highlight w:val="none"/>
                    </w:rPr>
                  </w:pPr>
                  <w:r>
                    <w:rPr>
                      <w:rFonts w:hint="eastAsia" w:eastAsia="宋体"/>
                      <w:color w:val="auto"/>
                      <w:sz w:val="18"/>
                      <w:szCs w:val="18"/>
                      <w:highlight w:val="none"/>
                    </w:rPr>
                    <w:t>本工程用电量少，施工供电采用自发电解决。采用</w:t>
                  </w:r>
                  <w:r>
                    <w:rPr>
                      <w:rFonts w:hint="eastAsia" w:eastAsia="宋体"/>
                      <w:color w:val="auto"/>
                      <w:sz w:val="18"/>
                      <w:szCs w:val="18"/>
                      <w:highlight w:val="none"/>
                      <w:lang w:val="en-US" w:eastAsia="zh-CN"/>
                    </w:rPr>
                    <w:t>1</w:t>
                  </w:r>
                  <w:r>
                    <w:rPr>
                      <w:rFonts w:hint="eastAsia" w:eastAsia="宋体"/>
                      <w:color w:val="auto"/>
                      <w:sz w:val="18"/>
                      <w:szCs w:val="18"/>
                      <w:highlight w:val="none"/>
                    </w:rPr>
                    <w:t>台</w:t>
                  </w:r>
                  <w:r>
                    <w:rPr>
                      <w:rFonts w:hint="eastAsia" w:eastAsia="宋体"/>
                      <w:color w:val="auto"/>
                      <w:sz w:val="18"/>
                      <w:szCs w:val="18"/>
                      <w:highlight w:val="none"/>
                      <w:lang w:val="en-US" w:eastAsia="zh-CN"/>
                    </w:rPr>
                    <w:t>50</w:t>
                  </w:r>
                  <w:r>
                    <w:rPr>
                      <w:rFonts w:hint="eastAsia" w:eastAsia="宋体"/>
                      <w:color w:val="auto"/>
                      <w:sz w:val="18"/>
                      <w:szCs w:val="18"/>
                      <w:highlight w:val="none"/>
                    </w:rPr>
                    <w:t>kW柴油发电机组，但施工现场不储存柴油，油料由委托方运油车供应。</w:t>
                  </w:r>
                </w:p>
              </w:tc>
            </w:tr>
            <w:tr w14:paraId="72711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6" w:type="dxa"/>
                  <w:gridSpan w:val="2"/>
                  <w:vMerge w:val="continue"/>
                  <w:vAlign w:val="center"/>
                </w:tcPr>
                <w:p w14:paraId="747AF0B8">
                  <w:pPr>
                    <w:pStyle w:val="51"/>
                    <w:rPr>
                      <w:color w:val="FF0000"/>
                      <w:highlight w:val="none"/>
                    </w:rPr>
                  </w:pPr>
                </w:p>
              </w:tc>
              <w:tc>
                <w:tcPr>
                  <w:tcW w:w="1510" w:type="dxa"/>
                  <w:vAlign w:val="center"/>
                </w:tcPr>
                <w:p w14:paraId="2B71B5C9">
                  <w:pPr>
                    <w:pStyle w:val="51"/>
                    <w:rPr>
                      <w:color w:val="auto"/>
                      <w:highlight w:val="none"/>
                    </w:rPr>
                  </w:pPr>
                  <w:r>
                    <w:rPr>
                      <w:rFonts w:hint="eastAsia"/>
                      <w:color w:val="auto"/>
                      <w:highlight w:val="none"/>
                    </w:rPr>
                    <w:t>供暖</w:t>
                  </w:r>
                </w:p>
              </w:tc>
              <w:tc>
                <w:tcPr>
                  <w:tcW w:w="5057" w:type="dxa"/>
                  <w:vAlign w:val="center"/>
                </w:tcPr>
                <w:p w14:paraId="4457AC12">
                  <w:pPr>
                    <w:pStyle w:val="51"/>
                    <w:jc w:val="both"/>
                    <w:rPr>
                      <w:color w:val="auto"/>
                      <w:highlight w:val="none"/>
                    </w:rPr>
                  </w:pPr>
                  <w:r>
                    <w:rPr>
                      <w:rFonts w:hint="eastAsia"/>
                      <w:color w:val="auto"/>
                      <w:highlight w:val="none"/>
                    </w:rPr>
                    <w:t>本项目主要为施工期工程，无供暖工程。</w:t>
                  </w:r>
                </w:p>
              </w:tc>
            </w:tr>
            <w:tr w14:paraId="3E73A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9" w:type="dxa"/>
                  <w:vMerge w:val="restart"/>
                  <w:vAlign w:val="center"/>
                </w:tcPr>
                <w:p w14:paraId="795B8C66">
                  <w:pPr>
                    <w:pStyle w:val="51"/>
                    <w:rPr>
                      <w:color w:val="auto"/>
                      <w:highlight w:val="none"/>
                    </w:rPr>
                  </w:pPr>
                  <w:r>
                    <w:rPr>
                      <w:rFonts w:hint="eastAsia"/>
                      <w:color w:val="auto"/>
                      <w:highlight w:val="none"/>
                    </w:rPr>
                    <w:t>环保工程</w:t>
                  </w:r>
                </w:p>
              </w:tc>
              <w:tc>
                <w:tcPr>
                  <w:tcW w:w="567" w:type="dxa"/>
                  <w:vMerge w:val="restart"/>
                  <w:vAlign w:val="center"/>
                </w:tcPr>
                <w:p w14:paraId="48262E2C">
                  <w:pPr>
                    <w:pStyle w:val="51"/>
                    <w:rPr>
                      <w:color w:val="auto"/>
                      <w:highlight w:val="none"/>
                    </w:rPr>
                  </w:pPr>
                  <w:r>
                    <w:rPr>
                      <w:rFonts w:hint="eastAsia"/>
                      <w:color w:val="auto"/>
                      <w:highlight w:val="none"/>
                    </w:rPr>
                    <w:t>施工期</w:t>
                  </w:r>
                </w:p>
              </w:tc>
              <w:tc>
                <w:tcPr>
                  <w:tcW w:w="1510" w:type="dxa"/>
                  <w:vAlign w:val="center"/>
                </w:tcPr>
                <w:p w14:paraId="7BC63768">
                  <w:pPr>
                    <w:pStyle w:val="51"/>
                    <w:rPr>
                      <w:color w:val="auto"/>
                      <w:highlight w:val="none"/>
                    </w:rPr>
                  </w:pPr>
                  <w:r>
                    <w:rPr>
                      <w:color w:val="auto"/>
                      <w:szCs w:val="21"/>
                      <w:highlight w:val="none"/>
                    </w:rPr>
                    <w:t>废气治理</w:t>
                  </w:r>
                </w:p>
              </w:tc>
              <w:tc>
                <w:tcPr>
                  <w:tcW w:w="5057" w:type="dxa"/>
                  <w:vAlign w:val="center"/>
                </w:tcPr>
                <w:p w14:paraId="7E48806C">
                  <w:pPr>
                    <w:pStyle w:val="51"/>
                    <w:jc w:val="both"/>
                    <w:rPr>
                      <w:color w:val="auto"/>
                      <w:highlight w:val="none"/>
                    </w:rPr>
                  </w:pPr>
                  <w:r>
                    <w:rPr>
                      <w:color w:val="auto"/>
                      <w:szCs w:val="21"/>
                      <w:highlight w:val="none"/>
                    </w:rPr>
                    <w:t>施工期材料整齐堆放，用苫布苫盖；洒水车降尘</w:t>
                  </w:r>
                  <w:r>
                    <w:rPr>
                      <w:rFonts w:hint="eastAsia"/>
                      <w:color w:val="auto"/>
                      <w:szCs w:val="21"/>
                      <w:highlight w:val="none"/>
                    </w:rPr>
                    <w:t>，禁止大风天气施工，施工场地周边设置围挡等措施</w:t>
                  </w:r>
                  <w:r>
                    <w:rPr>
                      <w:rFonts w:hint="eastAsia"/>
                      <w:color w:val="auto"/>
                      <w:szCs w:val="21"/>
                      <w:highlight w:val="none"/>
                      <w:lang w:eastAsia="zh-CN"/>
                    </w:rPr>
                    <w:t>，高度不低于2m，</w:t>
                  </w:r>
                  <w:r>
                    <w:rPr>
                      <w:rFonts w:hint="eastAsia"/>
                      <w:color w:val="auto"/>
                      <w:szCs w:val="21"/>
                      <w:highlight w:val="none"/>
                      <w:lang w:val="en-US" w:eastAsia="zh-CN"/>
                    </w:rPr>
                    <w:t>长度为100m</w:t>
                  </w:r>
                  <w:r>
                    <w:rPr>
                      <w:color w:val="auto"/>
                      <w:szCs w:val="21"/>
                      <w:highlight w:val="none"/>
                    </w:rPr>
                    <w:t>；在施工场地建设围栏并确保</w:t>
                  </w:r>
                  <w:r>
                    <w:rPr>
                      <w:rFonts w:hint="eastAsia"/>
                      <w:color w:val="auto"/>
                      <w:szCs w:val="21"/>
                      <w:highlight w:val="none"/>
                    </w:rPr>
                    <w:t>河道内杂物</w:t>
                  </w:r>
                  <w:r>
                    <w:rPr>
                      <w:color w:val="auto"/>
                      <w:szCs w:val="21"/>
                      <w:highlight w:val="none"/>
                    </w:rPr>
                    <w:t>及时处置。</w:t>
                  </w:r>
                  <w:r>
                    <w:rPr>
                      <w:rFonts w:hint="eastAsia"/>
                      <w:color w:val="auto"/>
                      <w:szCs w:val="21"/>
                      <w:highlight w:val="none"/>
                    </w:rPr>
                    <w:t>对施工工人采取保护措施，如佩戴口罩、面具等。</w:t>
                  </w:r>
                </w:p>
              </w:tc>
            </w:tr>
            <w:tr w14:paraId="15E1F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9" w:type="dxa"/>
                  <w:vMerge w:val="continue"/>
                  <w:vAlign w:val="center"/>
                </w:tcPr>
                <w:p w14:paraId="7518C4B6">
                  <w:pPr>
                    <w:pStyle w:val="51"/>
                    <w:rPr>
                      <w:color w:val="auto"/>
                      <w:highlight w:val="none"/>
                    </w:rPr>
                  </w:pPr>
                </w:p>
              </w:tc>
              <w:tc>
                <w:tcPr>
                  <w:tcW w:w="567" w:type="dxa"/>
                  <w:vMerge w:val="continue"/>
                  <w:vAlign w:val="center"/>
                </w:tcPr>
                <w:p w14:paraId="523F675D">
                  <w:pPr>
                    <w:pStyle w:val="51"/>
                    <w:rPr>
                      <w:color w:val="auto"/>
                      <w:highlight w:val="none"/>
                    </w:rPr>
                  </w:pPr>
                </w:p>
              </w:tc>
              <w:tc>
                <w:tcPr>
                  <w:tcW w:w="1510" w:type="dxa"/>
                  <w:vAlign w:val="center"/>
                </w:tcPr>
                <w:p w14:paraId="656D2E54">
                  <w:pPr>
                    <w:pStyle w:val="51"/>
                    <w:rPr>
                      <w:color w:val="auto"/>
                      <w:highlight w:val="none"/>
                    </w:rPr>
                  </w:pPr>
                  <w:r>
                    <w:rPr>
                      <w:color w:val="auto"/>
                      <w:szCs w:val="21"/>
                      <w:highlight w:val="none"/>
                    </w:rPr>
                    <w:t>废水治理</w:t>
                  </w:r>
                </w:p>
              </w:tc>
              <w:tc>
                <w:tcPr>
                  <w:tcW w:w="5057" w:type="dxa"/>
                  <w:vAlign w:val="center"/>
                </w:tcPr>
                <w:p w14:paraId="6D41F1B1">
                  <w:pPr>
                    <w:pStyle w:val="51"/>
                    <w:jc w:val="both"/>
                    <w:rPr>
                      <w:rFonts w:hint="eastAsia" w:eastAsia="宋体"/>
                      <w:color w:val="auto"/>
                      <w:highlight w:val="none"/>
                      <w:lang w:eastAsia="zh-CN"/>
                    </w:rPr>
                  </w:pPr>
                  <w:r>
                    <w:rPr>
                      <w:rFonts w:hint="eastAsia"/>
                      <w:color w:val="auto"/>
                      <w:highlight w:val="none"/>
                    </w:rPr>
                    <w:t>施工期</w:t>
                  </w:r>
                  <w:r>
                    <w:rPr>
                      <w:rFonts w:hint="eastAsia"/>
                      <w:color w:val="auto"/>
                      <w:highlight w:val="none"/>
                      <w:lang w:val="en-US" w:eastAsia="zh-CN"/>
                    </w:rPr>
                    <w:t>现场</w:t>
                  </w:r>
                  <w:r>
                    <w:rPr>
                      <w:rFonts w:hint="eastAsia" w:ascii="Times New Roman" w:hAnsi="Times New Roman" w:eastAsia="宋体" w:cs="Times New Roman"/>
                      <w:color w:val="auto"/>
                      <w:kern w:val="0"/>
                      <w:sz w:val="18"/>
                      <w:szCs w:val="18"/>
                      <w:highlight w:val="none"/>
                      <w:lang w:val="en-US" w:eastAsia="zh-CN" w:bidi="ar-SA"/>
                    </w:rPr>
                    <w:t>生产区</w:t>
                  </w:r>
                  <w:r>
                    <w:rPr>
                      <w:color w:val="auto"/>
                      <w:highlight w:val="none"/>
                    </w:rPr>
                    <w:t>生活污水集中排入自建的临时防渗旱厕，</w:t>
                  </w:r>
                  <w:r>
                    <w:rPr>
                      <w:rFonts w:hint="eastAsia"/>
                      <w:color w:val="auto"/>
                      <w:highlight w:val="none"/>
                      <w:lang w:eastAsia="zh-CN"/>
                    </w:rPr>
                    <w:t>定期清掏堆肥。</w:t>
                  </w:r>
                </w:p>
              </w:tc>
            </w:tr>
            <w:tr w14:paraId="2911C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9" w:type="dxa"/>
                  <w:vMerge w:val="continue"/>
                  <w:vAlign w:val="center"/>
                </w:tcPr>
                <w:p w14:paraId="194D3911">
                  <w:pPr>
                    <w:pStyle w:val="51"/>
                    <w:rPr>
                      <w:color w:val="FF0000"/>
                      <w:highlight w:val="none"/>
                    </w:rPr>
                  </w:pPr>
                </w:p>
              </w:tc>
              <w:tc>
                <w:tcPr>
                  <w:tcW w:w="567" w:type="dxa"/>
                  <w:vMerge w:val="continue"/>
                  <w:vAlign w:val="center"/>
                </w:tcPr>
                <w:p w14:paraId="4292FEC4">
                  <w:pPr>
                    <w:pStyle w:val="51"/>
                    <w:rPr>
                      <w:color w:val="FF0000"/>
                      <w:highlight w:val="none"/>
                    </w:rPr>
                  </w:pPr>
                </w:p>
              </w:tc>
              <w:tc>
                <w:tcPr>
                  <w:tcW w:w="1510" w:type="dxa"/>
                  <w:vAlign w:val="center"/>
                </w:tcPr>
                <w:p w14:paraId="1C448AE2">
                  <w:pPr>
                    <w:pStyle w:val="51"/>
                    <w:rPr>
                      <w:color w:val="auto"/>
                      <w:highlight w:val="none"/>
                    </w:rPr>
                  </w:pPr>
                  <w:r>
                    <w:rPr>
                      <w:color w:val="auto"/>
                      <w:szCs w:val="21"/>
                      <w:highlight w:val="none"/>
                    </w:rPr>
                    <w:t>噪声治理</w:t>
                  </w:r>
                </w:p>
              </w:tc>
              <w:tc>
                <w:tcPr>
                  <w:tcW w:w="5057" w:type="dxa"/>
                  <w:vAlign w:val="center"/>
                </w:tcPr>
                <w:p w14:paraId="0C90C63D">
                  <w:pPr>
                    <w:pStyle w:val="51"/>
                    <w:jc w:val="both"/>
                    <w:rPr>
                      <w:color w:val="auto"/>
                      <w:highlight w:val="none"/>
                    </w:rPr>
                  </w:pPr>
                  <w:r>
                    <w:rPr>
                      <w:color w:val="auto"/>
                      <w:szCs w:val="21"/>
                      <w:highlight w:val="none"/>
                    </w:rPr>
                    <w:t>合理安排施工时间</w:t>
                  </w:r>
                  <w:r>
                    <w:rPr>
                      <w:rFonts w:hint="eastAsia"/>
                      <w:color w:val="auto"/>
                      <w:szCs w:val="21"/>
                      <w:highlight w:val="none"/>
                    </w:rPr>
                    <w:t>，晚间禁止高噪声设备施工，午间夜间严禁施工</w:t>
                  </w:r>
                  <w:r>
                    <w:rPr>
                      <w:color w:val="auto"/>
                      <w:szCs w:val="21"/>
                      <w:highlight w:val="none"/>
                    </w:rPr>
                    <w:t>，施工设备采用低噪设备</w:t>
                  </w:r>
                  <w:r>
                    <w:rPr>
                      <w:rFonts w:hint="eastAsia"/>
                      <w:color w:val="auto"/>
                      <w:szCs w:val="21"/>
                      <w:highlight w:val="none"/>
                    </w:rPr>
                    <w:t>、基础减振</w:t>
                  </w:r>
                  <w:r>
                    <w:rPr>
                      <w:color w:val="auto"/>
                      <w:szCs w:val="21"/>
                      <w:highlight w:val="none"/>
                    </w:rPr>
                    <w:t>等</w:t>
                  </w:r>
                  <w:r>
                    <w:rPr>
                      <w:rFonts w:hint="eastAsia"/>
                      <w:color w:val="auto"/>
                      <w:szCs w:val="21"/>
                      <w:highlight w:val="none"/>
                    </w:rPr>
                    <w:t>措施</w:t>
                  </w:r>
                  <w:r>
                    <w:rPr>
                      <w:color w:val="auto"/>
                      <w:szCs w:val="21"/>
                      <w:highlight w:val="none"/>
                    </w:rPr>
                    <w:t>。</w:t>
                  </w:r>
                  <w:r>
                    <w:rPr>
                      <w:rFonts w:hint="eastAsia"/>
                      <w:color w:val="auto"/>
                      <w:szCs w:val="21"/>
                      <w:highlight w:val="none"/>
                    </w:rPr>
                    <w:t>施工期间的材料运输采用汽车拉运，车辆量占道路总车流量比较小，避开高峰时期及中午等休息时间，在途径河流、居民等敏感点处减速慢行、禁止鸣笛；在运输过程中尽可能选择开阔平整的道路，对周围环境影响较小。对于施工期间的材料运输、敲击等噪声源，要求施工单位文明施工；加强有效管理，加强施工队伍的素质教育，尽量减少人为的噪声以缓解其影响。加强劳动保护，改善施工人员作业环境。</w:t>
                  </w:r>
                </w:p>
              </w:tc>
            </w:tr>
            <w:tr w14:paraId="6AEFB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9" w:type="dxa"/>
                  <w:vMerge w:val="continue"/>
                  <w:vAlign w:val="center"/>
                </w:tcPr>
                <w:p w14:paraId="29EECEDB">
                  <w:pPr>
                    <w:pStyle w:val="51"/>
                    <w:rPr>
                      <w:color w:val="FF0000"/>
                      <w:highlight w:val="none"/>
                    </w:rPr>
                  </w:pPr>
                </w:p>
              </w:tc>
              <w:tc>
                <w:tcPr>
                  <w:tcW w:w="567" w:type="dxa"/>
                  <w:vMerge w:val="continue"/>
                  <w:vAlign w:val="center"/>
                </w:tcPr>
                <w:p w14:paraId="49825FFB">
                  <w:pPr>
                    <w:pStyle w:val="51"/>
                    <w:rPr>
                      <w:color w:val="FF0000"/>
                      <w:highlight w:val="none"/>
                    </w:rPr>
                  </w:pPr>
                </w:p>
              </w:tc>
              <w:tc>
                <w:tcPr>
                  <w:tcW w:w="1510" w:type="dxa"/>
                  <w:vAlign w:val="center"/>
                </w:tcPr>
                <w:p w14:paraId="29A8F168">
                  <w:pPr>
                    <w:pStyle w:val="51"/>
                    <w:rPr>
                      <w:color w:val="auto"/>
                      <w:highlight w:val="none"/>
                    </w:rPr>
                  </w:pPr>
                  <w:r>
                    <w:rPr>
                      <w:color w:val="auto"/>
                      <w:szCs w:val="21"/>
                      <w:highlight w:val="none"/>
                    </w:rPr>
                    <w:t>固体废物治理</w:t>
                  </w:r>
                </w:p>
              </w:tc>
              <w:tc>
                <w:tcPr>
                  <w:tcW w:w="5057" w:type="dxa"/>
                  <w:vAlign w:val="center"/>
                </w:tcPr>
                <w:p w14:paraId="5141F8B9">
                  <w:pPr>
                    <w:pStyle w:val="51"/>
                    <w:jc w:val="both"/>
                    <w:rPr>
                      <w:rFonts w:hint="eastAsia" w:eastAsia="宋体"/>
                      <w:color w:val="auto"/>
                      <w:highlight w:val="none"/>
                      <w:lang w:eastAsia="zh-CN"/>
                    </w:rPr>
                  </w:pPr>
                  <w:r>
                    <w:rPr>
                      <w:rFonts w:hint="eastAsia"/>
                      <w:color w:val="auto"/>
                      <w:kern w:val="0"/>
                      <w:szCs w:val="21"/>
                      <w:highlight w:val="none"/>
                    </w:rPr>
                    <w:t>施工人员</w:t>
                  </w:r>
                  <w:r>
                    <w:rPr>
                      <w:rFonts w:hint="eastAsia"/>
                      <w:color w:val="auto"/>
                      <w:kern w:val="0"/>
                      <w:szCs w:val="21"/>
                      <w:highlight w:val="none"/>
                      <w:lang w:val="en-US" w:eastAsia="zh-CN"/>
                    </w:rPr>
                    <w:t>生产区</w:t>
                  </w:r>
                  <w:r>
                    <w:rPr>
                      <w:rFonts w:hint="eastAsia"/>
                      <w:color w:val="auto"/>
                      <w:kern w:val="0"/>
                      <w:szCs w:val="21"/>
                      <w:highlight w:val="none"/>
                    </w:rPr>
                    <w:t>生活垃圾统一收集清运，送城市生活垃圾填埋场进行处理。</w:t>
                  </w:r>
                </w:p>
              </w:tc>
            </w:tr>
            <w:tr w14:paraId="2E362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9" w:type="dxa"/>
                  <w:vMerge w:val="continue"/>
                  <w:vAlign w:val="center"/>
                </w:tcPr>
                <w:p w14:paraId="0978C667">
                  <w:pPr>
                    <w:pStyle w:val="51"/>
                    <w:rPr>
                      <w:color w:val="FF0000"/>
                      <w:highlight w:val="none"/>
                    </w:rPr>
                  </w:pPr>
                </w:p>
              </w:tc>
              <w:tc>
                <w:tcPr>
                  <w:tcW w:w="567" w:type="dxa"/>
                  <w:vMerge w:val="continue"/>
                  <w:vAlign w:val="center"/>
                </w:tcPr>
                <w:p w14:paraId="7960183C">
                  <w:pPr>
                    <w:pStyle w:val="51"/>
                    <w:rPr>
                      <w:color w:val="FF0000"/>
                      <w:highlight w:val="none"/>
                    </w:rPr>
                  </w:pPr>
                </w:p>
              </w:tc>
              <w:tc>
                <w:tcPr>
                  <w:tcW w:w="1510" w:type="dxa"/>
                  <w:vAlign w:val="center"/>
                </w:tcPr>
                <w:p w14:paraId="768EA630">
                  <w:pPr>
                    <w:pStyle w:val="51"/>
                    <w:rPr>
                      <w:color w:val="auto"/>
                      <w:highlight w:val="none"/>
                    </w:rPr>
                  </w:pPr>
                  <w:r>
                    <w:rPr>
                      <w:color w:val="auto"/>
                      <w:szCs w:val="21"/>
                      <w:highlight w:val="none"/>
                    </w:rPr>
                    <w:t>生态恢复措施</w:t>
                  </w:r>
                </w:p>
              </w:tc>
              <w:tc>
                <w:tcPr>
                  <w:tcW w:w="5057" w:type="dxa"/>
                  <w:vAlign w:val="center"/>
                </w:tcPr>
                <w:p w14:paraId="598A6AF5">
                  <w:pPr>
                    <w:pStyle w:val="51"/>
                    <w:jc w:val="both"/>
                    <w:rPr>
                      <w:rFonts w:hint="eastAsia" w:eastAsia="宋体"/>
                      <w:color w:val="auto"/>
                      <w:highlight w:val="none"/>
                      <w:lang w:eastAsia="zh-CN"/>
                    </w:rPr>
                  </w:pPr>
                  <w:r>
                    <w:rPr>
                      <w:rFonts w:hint="eastAsia"/>
                      <w:color w:val="auto"/>
                      <w:szCs w:val="21"/>
                      <w:highlight w:val="none"/>
                    </w:rPr>
                    <w:t>施工材料堆放在</w:t>
                  </w:r>
                  <w:r>
                    <w:rPr>
                      <w:rFonts w:hint="eastAsia"/>
                      <w:color w:val="auto"/>
                      <w:szCs w:val="21"/>
                      <w:highlight w:val="none"/>
                      <w:lang w:val="en-US" w:eastAsia="zh-CN"/>
                    </w:rPr>
                    <w:t>现有提防</w:t>
                  </w:r>
                  <w:r>
                    <w:rPr>
                      <w:rFonts w:hint="eastAsia"/>
                      <w:color w:val="auto"/>
                      <w:szCs w:val="21"/>
                      <w:highlight w:val="none"/>
                    </w:rPr>
                    <w:t>永久占地内，减少植被破坏、禁止动物的捕猎、鱼类的捕捞；施工期间要加强管理，明确征地界限，各种施工活动严格控制在征地范围内进行，避免人为增加扰动面积</w:t>
                  </w:r>
                  <w:r>
                    <w:rPr>
                      <w:rFonts w:hint="eastAsia"/>
                      <w:color w:val="auto"/>
                      <w:szCs w:val="21"/>
                      <w:highlight w:val="none"/>
                      <w:lang w:eastAsia="zh-CN"/>
                    </w:rPr>
                    <w:t>。</w:t>
                  </w:r>
                </w:p>
              </w:tc>
            </w:tr>
          </w:tbl>
          <w:p w14:paraId="20AF85C1">
            <w:pPr>
              <w:pStyle w:val="56"/>
              <w:numPr>
                <w:ilvl w:val="0"/>
                <w:numId w:val="2"/>
              </w:numPr>
              <w:ind w:firstLine="420"/>
              <w:rPr>
                <w:rFonts w:hint="eastAsia"/>
                <w:color w:val="auto"/>
                <w:highlight w:val="none"/>
                <w:lang w:val="en-US" w:eastAsia="zh-CN"/>
              </w:rPr>
            </w:pPr>
            <w:r>
              <w:rPr>
                <w:rFonts w:hint="eastAsia"/>
                <w:color w:val="auto"/>
                <w:highlight w:val="none"/>
                <w:lang w:val="en-US" w:eastAsia="zh-CN"/>
              </w:rPr>
              <w:t>土方平衡</w:t>
            </w:r>
          </w:p>
          <w:p w14:paraId="4707C719">
            <w:pPr>
              <w:pStyle w:val="56"/>
              <w:ind w:firstLine="420"/>
              <w:rPr>
                <w:rFonts w:hint="eastAsia"/>
                <w:color w:val="auto"/>
                <w:highlight w:val="none"/>
              </w:rPr>
            </w:pPr>
            <w:r>
              <w:rPr>
                <w:rFonts w:hint="eastAsia"/>
                <w:color w:val="auto"/>
                <w:highlight w:val="none"/>
                <w:lang w:val="en-US" w:eastAsia="zh-CN"/>
              </w:rPr>
              <w:t>根据《黑龙江省饶河县大带河治理工程补充设计实施方案》，</w:t>
            </w:r>
            <w:r>
              <w:rPr>
                <w:rFonts w:hint="eastAsia"/>
                <w:color w:val="auto"/>
                <w:highlight w:val="none"/>
              </w:rPr>
              <w:t>本工程开挖料及削坡土方利用至回填，无剩余弃料。本工程无需暂存回填料。工程土方平衡见表</w:t>
            </w:r>
            <w:r>
              <w:rPr>
                <w:rFonts w:hint="eastAsia"/>
                <w:color w:val="auto"/>
                <w:highlight w:val="none"/>
                <w:lang w:val="en-US" w:eastAsia="zh-CN"/>
              </w:rPr>
              <w:t>2-2</w:t>
            </w:r>
            <w:r>
              <w:rPr>
                <w:rFonts w:hint="eastAsia"/>
                <w:color w:val="auto"/>
                <w:highlight w:val="none"/>
              </w:rPr>
              <w:t>。</w:t>
            </w:r>
          </w:p>
          <w:p w14:paraId="0FB0FB50">
            <w:pPr>
              <w:pStyle w:val="55"/>
              <w:jc w:val="center"/>
              <w:rPr>
                <w:rFonts w:hint="default" w:ascii="Times New Roman" w:hAnsi="Times New Roman" w:eastAsia="黑体" w:cs="Times New Roman"/>
                <w:color w:val="auto"/>
                <w:highlight w:val="none"/>
                <w:lang w:val="en-US" w:eastAsia="zh-CN"/>
              </w:rPr>
            </w:pPr>
            <w:r>
              <w:rPr>
                <w:rFonts w:hint="eastAsia"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 xml:space="preserve">2-2  </w:t>
            </w:r>
            <w:r>
              <w:rPr>
                <w:rFonts w:hint="eastAsia" w:ascii="Times New Roman" w:hAnsi="Times New Roman" w:cs="Times New Roman"/>
                <w:color w:val="auto"/>
                <w:highlight w:val="none"/>
              </w:rPr>
              <w:t>土方平衡表</w:t>
            </w:r>
            <w:r>
              <w:rPr>
                <w:rFonts w:hint="eastAsia" w:ascii="Times New Roman" w:hAnsi="Times New Roman" w:cs="Times New Roman"/>
                <w:color w:val="auto"/>
                <w:highlight w:val="none"/>
                <w:lang w:val="en-US" w:eastAsia="zh-CN"/>
              </w:rPr>
              <w:t xml:space="preserve">       单位：m</w:t>
            </w:r>
            <w:r>
              <w:rPr>
                <w:rFonts w:hint="eastAsia" w:ascii="Times New Roman" w:hAnsi="Times New Roman" w:cs="Times New Roman"/>
                <w:color w:val="auto"/>
                <w:highlight w:val="none"/>
                <w:vertAlign w:val="superscript"/>
                <w:lang w:val="en-US" w:eastAsia="zh-CN"/>
              </w:rPr>
              <w:t>3</w:t>
            </w:r>
          </w:p>
          <w:tbl>
            <w:tblPr>
              <w:tblStyle w:val="26"/>
              <w:tblW w:w="5000" w:type="pct"/>
              <w:tblInd w:w="5" w:type="dxa"/>
              <w:tblBorders>
                <w:top w:val="none" w:color="auto" w:sz="4" w:space="0"/>
                <w:left w:val="none" w:color="auto" w:sz="0" w:space="0"/>
                <w:bottom w:val="none" w:color="auto" w:sz="4" w:space="0"/>
                <w:right w:val="none" w:color="auto" w:sz="4" w:space="0"/>
                <w:insideH w:val="none" w:color="auto" w:sz="4" w:space="0"/>
                <w:insideV w:val="none" w:color="auto" w:sz="4" w:space="0"/>
              </w:tblBorders>
              <w:tblLayout w:type="autofit"/>
              <w:tblCellMar>
                <w:top w:w="0" w:type="dxa"/>
                <w:left w:w="108" w:type="dxa"/>
                <w:bottom w:w="0" w:type="dxa"/>
                <w:right w:w="108" w:type="dxa"/>
              </w:tblCellMar>
            </w:tblPr>
            <w:tblGrid>
              <w:gridCol w:w="576"/>
              <w:gridCol w:w="1225"/>
              <w:gridCol w:w="1146"/>
              <w:gridCol w:w="1724"/>
              <w:gridCol w:w="1724"/>
              <w:gridCol w:w="1148"/>
            </w:tblGrid>
            <w:tr w14:paraId="58250CFA">
              <w:tblPrEx>
                <w:tblBorders>
                  <w:top w:val="none" w:color="auto" w:sz="4" w:space="0"/>
                  <w:left w:val="none" w:color="auto" w:sz="0"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270" w:hRule="atLeast"/>
              </w:trPr>
              <w:tc>
                <w:tcPr>
                  <w:tcW w:w="498" w:type="pct"/>
                  <w:vMerge w:val="restart"/>
                  <w:tcBorders>
                    <w:top w:val="single" w:color="auto" w:sz="12" w:space="0"/>
                    <w:bottom w:val="single" w:color="auto" w:sz="4" w:space="0"/>
                    <w:right w:val="single" w:color="auto" w:sz="4" w:space="0"/>
                  </w:tcBorders>
                  <w:noWrap/>
                  <w:vAlign w:val="center"/>
                </w:tcPr>
                <w:p w14:paraId="61EC47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1168" w:type="pct"/>
                  <w:vMerge w:val="restart"/>
                  <w:tcBorders>
                    <w:top w:val="single" w:color="auto" w:sz="12" w:space="0"/>
                    <w:left w:val="single" w:color="auto" w:sz="4" w:space="0"/>
                    <w:bottom w:val="single" w:color="auto" w:sz="4" w:space="0"/>
                    <w:right w:val="single" w:color="auto" w:sz="4" w:space="0"/>
                  </w:tcBorders>
                  <w:noWrap/>
                  <w:vAlign w:val="center"/>
                </w:tcPr>
                <w:p w14:paraId="60DAED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项目</w:t>
                  </w:r>
                </w:p>
              </w:tc>
              <w:tc>
                <w:tcPr>
                  <w:tcW w:w="665" w:type="pct"/>
                  <w:tcBorders>
                    <w:top w:val="single" w:color="auto" w:sz="12" w:space="0"/>
                    <w:left w:val="single" w:color="auto" w:sz="4" w:space="0"/>
                    <w:bottom w:val="single" w:color="auto" w:sz="4" w:space="0"/>
                    <w:right w:val="single" w:color="auto" w:sz="4" w:space="0"/>
                  </w:tcBorders>
                  <w:noWrap/>
                  <w:vAlign w:val="center"/>
                </w:tcPr>
                <w:p w14:paraId="51D25F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挖方量</w:t>
                  </w:r>
                </w:p>
              </w:tc>
              <w:tc>
                <w:tcPr>
                  <w:tcW w:w="1000" w:type="pct"/>
                  <w:tcBorders>
                    <w:top w:val="single" w:color="auto" w:sz="12" w:space="0"/>
                    <w:left w:val="single" w:color="auto" w:sz="4" w:space="0"/>
                    <w:bottom w:val="single" w:color="auto" w:sz="4" w:space="0"/>
                    <w:right w:val="single" w:color="auto" w:sz="4" w:space="0"/>
                  </w:tcBorders>
                  <w:noWrap/>
                  <w:vAlign w:val="center"/>
                </w:tcPr>
                <w:p w14:paraId="41D9E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风化料填方</w:t>
                  </w:r>
                </w:p>
              </w:tc>
              <w:tc>
                <w:tcPr>
                  <w:tcW w:w="1000" w:type="pct"/>
                  <w:tcBorders>
                    <w:top w:val="single" w:color="auto" w:sz="12" w:space="0"/>
                    <w:left w:val="single" w:color="auto" w:sz="4" w:space="0"/>
                    <w:bottom w:val="single" w:color="auto" w:sz="4" w:space="0"/>
                    <w:right w:val="single" w:color="auto" w:sz="4" w:space="0"/>
                  </w:tcBorders>
                  <w:noWrap/>
                  <w:vAlign w:val="center"/>
                </w:tcPr>
                <w:p w14:paraId="60905C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利用至填塘</w:t>
                  </w:r>
                </w:p>
              </w:tc>
              <w:tc>
                <w:tcPr>
                  <w:tcW w:w="665" w:type="pct"/>
                  <w:tcBorders>
                    <w:top w:val="single" w:color="auto" w:sz="12" w:space="0"/>
                    <w:left w:val="single" w:color="auto" w:sz="4" w:space="0"/>
                    <w:bottom w:val="single" w:color="auto" w:sz="4" w:space="0"/>
                    <w:right w:val="nil"/>
                  </w:tcBorders>
                  <w:noWrap w:val="0"/>
                  <w:vAlign w:val="center"/>
                </w:tcPr>
                <w:p w14:paraId="2FA3F8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弃土</w:t>
                  </w:r>
                </w:p>
              </w:tc>
            </w:tr>
            <w:tr w14:paraId="167B5847">
              <w:tblPrEx>
                <w:tblBorders>
                  <w:top w:val="none" w:color="auto" w:sz="4" w:space="0"/>
                  <w:left w:val="none" w:color="auto" w:sz="0"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270" w:hRule="atLeast"/>
              </w:trPr>
              <w:tc>
                <w:tcPr>
                  <w:tcW w:w="498" w:type="pct"/>
                  <w:vMerge w:val="continue"/>
                  <w:tcBorders>
                    <w:top w:val="single" w:color="auto" w:sz="4" w:space="0"/>
                    <w:bottom w:val="single" w:color="auto" w:sz="4" w:space="0"/>
                    <w:right w:val="single" w:color="auto" w:sz="4" w:space="0"/>
                  </w:tcBorders>
                  <w:noWrap w:val="0"/>
                  <w:vAlign w:val="center"/>
                </w:tcPr>
                <w:p w14:paraId="19D936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1168" w:type="pct"/>
                  <w:vMerge w:val="continue"/>
                  <w:tcBorders>
                    <w:top w:val="single" w:color="auto" w:sz="4" w:space="0"/>
                    <w:left w:val="single" w:color="auto" w:sz="4" w:space="0"/>
                    <w:bottom w:val="single" w:color="auto" w:sz="4" w:space="0"/>
                    <w:right w:val="single" w:color="auto" w:sz="4" w:space="0"/>
                  </w:tcBorders>
                  <w:noWrap w:val="0"/>
                  <w:vAlign w:val="center"/>
                </w:tcPr>
                <w:p w14:paraId="00C992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p>
              </w:tc>
              <w:tc>
                <w:tcPr>
                  <w:tcW w:w="665" w:type="pct"/>
                  <w:tcBorders>
                    <w:top w:val="single" w:color="auto" w:sz="4" w:space="0"/>
                    <w:left w:val="single" w:color="auto" w:sz="4" w:space="0"/>
                    <w:bottom w:val="single" w:color="auto" w:sz="4" w:space="0"/>
                    <w:right w:val="single" w:color="auto" w:sz="4" w:space="0"/>
                  </w:tcBorders>
                  <w:noWrap/>
                  <w:vAlign w:val="center"/>
                </w:tcPr>
                <w:p w14:paraId="164A4C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自然方</w:t>
                  </w:r>
                </w:p>
              </w:tc>
              <w:tc>
                <w:tcPr>
                  <w:tcW w:w="1000" w:type="pct"/>
                  <w:tcBorders>
                    <w:top w:val="single" w:color="auto" w:sz="4" w:space="0"/>
                    <w:left w:val="single" w:color="auto" w:sz="4" w:space="0"/>
                    <w:bottom w:val="single" w:color="auto" w:sz="4" w:space="0"/>
                    <w:right w:val="single" w:color="auto" w:sz="4" w:space="0"/>
                  </w:tcBorders>
                  <w:noWrap/>
                  <w:vAlign w:val="center"/>
                </w:tcPr>
                <w:p w14:paraId="131878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压实方</w:t>
                  </w:r>
                </w:p>
              </w:tc>
              <w:tc>
                <w:tcPr>
                  <w:tcW w:w="1000" w:type="pct"/>
                  <w:tcBorders>
                    <w:top w:val="single" w:color="auto" w:sz="4" w:space="0"/>
                    <w:left w:val="single" w:color="auto" w:sz="4" w:space="0"/>
                    <w:bottom w:val="single" w:color="auto" w:sz="4" w:space="0"/>
                    <w:right w:val="single" w:color="auto" w:sz="4" w:space="0"/>
                  </w:tcBorders>
                  <w:noWrap/>
                  <w:vAlign w:val="center"/>
                </w:tcPr>
                <w:p w14:paraId="378AEE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自然方</w:t>
                  </w:r>
                </w:p>
              </w:tc>
              <w:tc>
                <w:tcPr>
                  <w:tcW w:w="665" w:type="pct"/>
                  <w:tcBorders>
                    <w:top w:val="single" w:color="auto" w:sz="4" w:space="0"/>
                    <w:left w:val="single" w:color="auto" w:sz="4" w:space="0"/>
                    <w:bottom w:val="single" w:color="auto" w:sz="4" w:space="0"/>
                    <w:right w:val="nil"/>
                  </w:tcBorders>
                  <w:noWrap/>
                  <w:vAlign w:val="center"/>
                </w:tcPr>
                <w:p w14:paraId="671630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自然方</w:t>
                  </w:r>
                </w:p>
              </w:tc>
            </w:tr>
            <w:tr w14:paraId="32511D4A">
              <w:tblPrEx>
                <w:tblBorders>
                  <w:top w:val="none" w:color="auto" w:sz="4" w:space="0"/>
                  <w:left w:val="none" w:color="auto" w:sz="0"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270" w:hRule="atLeast"/>
              </w:trPr>
              <w:tc>
                <w:tcPr>
                  <w:tcW w:w="1666" w:type="pct"/>
                  <w:gridSpan w:val="2"/>
                  <w:tcBorders>
                    <w:top w:val="single" w:color="auto" w:sz="4" w:space="0"/>
                    <w:bottom w:val="single" w:color="auto" w:sz="4" w:space="0"/>
                    <w:right w:val="single" w:color="auto" w:sz="4" w:space="0"/>
                  </w:tcBorders>
                  <w:noWrap/>
                  <w:vAlign w:val="center"/>
                </w:tcPr>
                <w:p w14:paraId="785F53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设计填方</w:t>
                  </w:r>
                </w:p>
              </w:tc>
              <w:tc>
                <w:tcPr>
                  <w:tcW w:w="1146" w:type="dxa"/>
                  <w:tcBorders>
                    <w:top w:val="single" w:color="auto" w:sz="4" w:space="0"/>
                    <w:left w:val="single" w:color="auto" w:sz="4" w:space="0"/>
                    <w:bottom w:val="single" w:color="auto" w:sz="4" w:space="0"/>
                    <w:right w:val="single" w:color="auto" w:sz="4" w:space="0"/>
                  </w:tcBorders>
                  <w:noWrap/>
                  <w:vAlign w:val="bottom"/>
                </w:tcPr>
                <w:p w14:paraId="4E7B97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sz w:val="18"/>
                      <w:szCs w:val="18"/>
                      <w:highlight w:val="none"/>
                      <w:lang w:val="en-US" w:eastAsia="zh-CN" w:bidi="ar-SA"/>
                    </w:rPr>
                  </w:pPr>
                </w:p>
              </w:tc>
              <w:tc>
                <w:tcPr>
                  <w:tcW w:w="1724" w:type="dxa"/>
                  <w:tcBorders>
                    <w:top w:val="single" w:color="auto" w:sz="4" w:space="0"/>
                    <w:left w:val="single" w:color="auto" w:sz="4" w:space="0"/>
                    <w:bottom w:val="single" w:color="auto" w:sz="4" w:space="0"/>
                    <w:right w:val="single" w:color="auto" w:sz="4" w:space="0"/>
                  </w:tcBorders>
                  <w:noWrap/>
                  <w:vAlign w:val="bottom"/>
                </w:tcPr>
                <w:p w14:paraId="749610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14968</w:t>
                  </w:r>
                </w:p>
              </w:tc>
              <w:tc>
                <w:tcPr>
                  <w:tcW w:w="1724" w:type="dxa"/>
                  <w:tcBorders>
                    <w:top w:val="single" w:color="auto" w:sz="4" w:space="0"/>
                    <w:left w:val="single" w:color="auto" w:sz="4" w:space="0"/>
                    <w:bottom w:val="single" w:color="auto" w:sz="4" w:space="0"/>
                    <w:right w:val="single" w:color="auto" w:sz="4" w:space="0"/>
                  </w:tcBorders>
                  <w:noWrap/>
                  <w:vAlign w:val="bottom"/>
                </w:tcPr>
                <w:p w14:paraId="1511C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1147" w:type="dxa"/>
                  <w:tcBorders>
                    <w:top w:val="single" w:color="auto" w:sz="4" w:space="0"/>
                    <w:left w:val="single" w:color="auto" w:sz="4" w:space="0"/>
                    <w:bottom w:val="single" w:color="auto" w:sz="4" w:space="0"/>
                    <w:right w:val="nil"/>
                  </w:tcBorders>
                  <w:noWrap/>
                  <w:vAlign w:val="bottom"/>
                </w:tcPr>
                <w:p w14:paraId="2C1F4E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sz w:val="18"/>
                      <w:szCs w:val="18"/>
                      <w:highlight w:val="none"/>
                      <w:lang w:val="en-US" w:eastAsia="zh-CN" w:bidi="ar-SA"/>
                    </w:rPr>
                  </w:pPr>
                </w:p>
              </w:tc>
            </w:tr>
            <w:tr w14:paraId="5C89DBC3">
              <w:tblPrEx>
                <w:tblBorders>
                  <w:top w:val="none" w:color="auto" w:sz="4" w:space="0"/>
                  <w:left w:val="none" w:color="auto" w:sz="0"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270" w:hRule="atLeast"/>
              </w:trPr>
              <w:tc>
                <w:tcPr>
                  <w:tcW w:w="498" w:type="pct"/>
                  <w:tcBorders>
                    <w:top w:val="single" w:color="auto" w:sz="4" w:space="0"/>
                    <w:bottom w:val="single" w:color="auto" w:sz="4" w:space="0"/>
                    <w:right w:val="single" w:color="auto" w:sz="4" w:space="0"/>
                  </w:tcBorders>
                  <w:noWrap/>
                  <w:vAlign w:val="center"/>
                </w:tcPr>
                <w:p w14:paraId="48F574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168" w:type="pct"/>
                  <w:tcBorders>
                    <w:top w:val="single" w:color="auto" w:sz="4" w:space="0"/>
                    <w:left w:val="single" w:color="auto" w:sz="4" w:space="0"/>
                    <w:bottom w:val="single" w:color="auto" w:sz="4" w:space="0"/>
                    <w:right w:val="single" w:color="auto" w:sz="4" w:space="0"/>
                  </w:tcBorders>
                  <w:noWrap/>
                  <w:vAlign w:val="center"/>
                </w:tcPr>
                <w:p w14:paraId="01FE56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清基</w:t>
                  </w:r>
                </w:p>
              </w:tc>
              <w:tc>
                <w:tcPr>
                  <w:tcW w:w="1146" w:type="dxa"/>
                  <w:tcBorders>
                    <w:top w:val="single" w:color="auto" w:sz="4" w:space="0"/>
                    <w:left w:val="single" w:color="auto" w:sz="4" w:space="0"/>
                    <w:bottom w:val="single" w:color="auto" w:sz="4" w:space="0"/>
                    <w:right w:val="single" w:color="auto" w:sz="4" w:space="0"/>
                  </w:tcBorders>
                  <w:noWrap/>
                  <w:vAlign w:val="bottom"/>
                </w:tcPr>
                <w:p w14:paraId="70668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lang w:val="en-US" w:eastAsia="zh-CN" w:bidi="ar-SA"/>
                    </w:rPr>
                    <w:t>6081</w:t>
                  </w:r>
                </w:p>
              </w:tc>
              <w:tc>
                <w:tcPr>
                  <w:tcW w:w="1724" w:type="dxa"/>
                  <w:tcBorders>
                    <w:top w:val="single" w:color="auto" w:sz="4" w:space="0"/>
                    <w:left w:val="single" w:color="auto" w:sz="4" w:space="0"/>
                    <w:bottom w:val="single" w:color="auto" w:sz="4" w:space="0"/>
                    <w:right w:val="single" w:color="auto" w:sz="4" w:space="0"/>
                  </w:tcBorders>
                  <w:noWrap/>
                  <w:vAlign w:val="bottom"/>
                </w:tcPr>
                <w:p w14:paraId="3D837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1724" w:type="dxa"/>
                  <w:tcBorders>
                    <w:top w:val="single" w:color="auto" w:sz="4" w:space="0"/>
                    <w:left w:val="single" w:color="auto" w:sz="4" w:space="0"/>
                    <w:bottom w:val="single" w:color="auto" w:sz="4" w:space="0"/>
                    <w:right w:val="single" w:color="auto" w:sz="4" w:space="0"/>
                  </w:tcBorders>
                  <w:noWrap/>
                  <w:vAlign w:val="bottom"/>
                </w:tcPr>
                <w:p w14:paraId="150C2C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6081</w:t>
                  </w:r>
                </w:p>
              </w:tc>
              <w:tc>
                <w:tcPr>
                  <w:tcW w:w="1147" w:type="dxa"/>
                  <w:tcBorders>
                    <w:top w:val="single" w:color="auto" w:sz="4" w:space="0"/>
                    <w:left w:val="single" w:color="auto" w:sz="4" w:space="0"/>
                    <w:bottom w:val="single" w:color="auto" w:sz="4" w:space="0"/>
                    <w:right w:val="nil"/>
                  </w:tcBorders>
                  <w:noWrap/>
                  <w:vAlign w:val="bottom"/>
                </w:tcPr>
                <w:p w14:paraId="02E310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18"/>
                      <w:szCs w:val="18"/>
                      <w:highlight w:val="none"/>
                      <w:lang w:val="en-US" w:eastAsia="zh-CN" w:bidi="ar-SA"/>
                    </w:rPr>
                  </w:pPr>
                </w:p>
              </w:tc>
            </w:tr>
            <w:tr w14:paraId="09C8B67C">
              <w:tblPrEx>
                <w:tblBorders>
                  <w:top w:val="none" w:color="auto" w:sz="4" w:space="0"/>
                  <w:left w:val="none" w:color="auto" w:sz="0"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270" w:hRule="atLeast"/>
              </w:trPr>
              <w:tc>
                <w:tcPr>
                  <w:tcW w:w="1666" w:type="pct"/>
                  <w:gridSpan w:val="2"/>
                  <w:tcBorders>
                    <w:top w:val="single" w:color="auto" w:sz="4" w:space="0"/>
                    <w:bottom w:val="single" w:color="auto" w:sz="4" w:space="0"/>
                    <w:right w:val="single" w:color="auto" w:sz="4" w:space="0"/>
                  </w:tcBorders>
                  <w:noWrap/>
                  <w:vAlign w:val="center"/>
                </w:tcPr>
                <w:p w14:paraId="3576F6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合计</w:t>
                  </w:r>
                </w:p>
              </w:tc>
              <w:tc>
                <w:tcPr>
                  <w:tcW w:w="1146" w:type="dxa"/>
                  <w:tcBorders>
                    <w:top w:val="single" w:color="auto" w:sz="4" w:space="0"/>
                    <w:left w:val="single" w:color="auto" w:sz="4" w:space="0"/>
                    <w:bottom w:val="single" w:color="auto" w:sz="4" w:space="0"/>
                    <w:right w:val="single" w:color="auto" w:sz="4" w:space="0"/>
                  </w:tcBorders>
                  <w:noWrap/>
                  <w:vAlign w:val="bottom"/>
                </w:tcPr>
                <w:p w14:paraId="4694AB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lang w:val="en-US" w:eastAsia="zh-CN" w:bidi="ar-SA"/>
                    </w:rPr>
                    <w:t>6081</w:t>
                  </w:r>
                </w:p>
              </w:tc>
              <w:tc>
                <w:tcPr>
                  <w:tcW w:w="1724" w:type="dxa"/>
                  <w:tcBorders>
                    <w:top w:val="single" w:color="auto" w:sz="4" w:space="0"/>
                    <w:left w:val="single" w:color="auto" w:sz="4" w:space="0"/>
                    <w:bottom w:val="single" w:color="auto" w:sz="4" w:space="0"/>
                    <w:right w:val="single" w:color="auto" w:sz="4" w:space="0"/>
                  </w:tcBorders>
                  <w:noWrap/>
                  <w:vAlign w:val="bottom"/>
                </w:tcPr>
                <w:p w14:paraId="5EB1D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1724" w:type="dxa"/>
                  <w:tcBorders>
                    <w:top w:val="single" w:color="auto" w:sz="4" w:space="0"/>
                    <w:left w:val="single" w:color="auto" w:sz="4" w:space="0"/>
                    <w:bottom w:val="single" w:color="auto" w:sz="4" w:space="0"/>
                    <w:right w:val="single" w:color="auto" w:sz="4" w:space="0"/>
                  </w:tcBorders>
                  <w:noWrap/>
                  <w:vAlign w:val="bottom"/>
                </w:tcPr>
                <w:p w14:paraId="18FB37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6081</w:t>
                  </w:r>
                </w:p>
              </w:tc>
              <w:tc>
                <w:tcPr>
                  <w:tcW w:w="1147" w:type="dxa"/>
                  <w:tcBorders>
                    <w:top w:val="single" w:color="auto" w:sz="4" w:space="0"/>
                    <w:left w:val="single" w:color="auto" w:sz="4" w:space="0"/>
                    <w:bottom w:val="single" w:color="auto" w:sz="4" w:space="0"/>
                    <w:right w:val="nil"/>
                  </w:tcBorders>
                  <w:noWrap/>
                  <w:vAlign w:val="bottom"/>
                </w:tcPr>
                <w:p w14:paraId="609270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18"/>
                      <w:szCs w:val="18"/>
                      <w:highlight w:val="none"/>
                      <w:lang w:val="en-US" w:eastAsia="zh-CN" w:bidi="ar-SA"/>
                    </w:rPr>
                  </w:pPr>
                </w:p>
              </w:tc>
            </w:tr>
            <w:tr w14:paraId="7E858F4D">
              <w:tblPrEx>
                <w:tblBorders>
                  <w:top w:val="none" w:color="auto" w:sz="4" w:space="0"/>
                  <w:left w:val="none" w:color="auto" w:sz="0"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270" w:hRule="atLeast"/>
              </w:trPr>
              <w:tc>
                <w:tcPr>
                  <w:tcW w:w="1666" w:type="pct"/>
                  <w:gridSpan w:val="2"/>
                  <w:tcBorders>
                    <w:top w:val="single" w:color="auto" w:sz="4" w:space="0"/>
                    <w:bottom w:val="single" w:color="auto" w:sz="12" w:space="0"/>
                    <w:right w:val="single" w:color="auto" w:sz="4" w:space="0"/>
                  </w:tcBorders>
                  <w:noWrap/>
                  <w:vAlign w:val="center"/>
                </w:tcPr>
                <w:p w14:paraId="2C3DE1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外购</w:t>
                  </w:r>
                </w:p>
              </w:tc>
              <w:tc>
                <w:tcPr>
                  <w:tcW w:w="1146" w:type="dxa"/>
                  <w:tcBorders>
                    <w:top w:val="single" w:color="auto" w:sz="4" w:space="0"/>
                    <w:left w:val="single" w:color="auto" w:sz="4" w:space="0"/>
                    <w:bottom w:val="single" w:color="auto" w:sz="12" w:space="0"/>
                    <w:right w:val="single" w:color="auto" w:sz="4" w:space="0"/>
                  </w:tcBorders>
                  <w:noWrap/>
                  <w:vAlign w:val="bottom"/>
                </w:tcPr>
                <w:p w14:paraId="174AA4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sz w:val="18"/>
                      <w:szCs w:val="18"/>
                      <w:highlight w:val="none"/>
                      <w:lang w:val="en-US" w:eastAsia="zh-CN" w:bidi="ar-SA"/>
                    </w:rPr>
                  </w:pPr>
                </w:p>
              </w:tc>
              <w:tc>
                <w:tcPr>
                  <w:tcW w:w="1724" w:type="dxa"/>
                  <w:tcBorders>
                    <w:top w:val="single" w:color="auto" w:sz="4" w:space="0"/>
                    <w:left w:val="single" w:color="auto" w:sz="4" w:space="0"/>
                    <w:bottom w:val="single" w:color="auto" w:sz="12" w:space="0"/>
                    <w:right w:val="single" w:color="auto" w:sz="4" w:space="0"/>
                  </w:tcBorders>
                  <w:noWrap/>
                  <w:vAlign w:val="bottom"/>
                </w:tcPr>
                <w:p w14:paraId="0051E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14968</w:t>
                  </w:r>
                </w:p>
              </w:tc>
              <w:tc>
                <w:tcPr>
                  <w:tcW w:w="1724" w:type="dxa"/>
                  <w:tcBorders>
                    <w:top w:val="single" w:color="auto" w:sz="4" w:space="0"/>
                    <w:left w:val="single" w:color="auto" w:sz="4" w:space="0"/>
                    <w:bottom w:val="single" w:color="auto" w:sz="12" w:space="0"/>
                    <w:right w:val="single" w:color="auto" w:sz="4" w:space="0"/>
                  </w:tcBorders>
                  <w:noWrap/>
                  <w:vAlign w:val="bottom"/>
                </w:tcPr>
                <w:p w14:paraId="57D81A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1147" w:type="dxa"/>
                  <w:tcBorders>
                    <w:top w:val="single" w:color="auto" w:sz="4" w:space="0"/>
                    <w:left w:val="single" w:color="auto" w:sz="4" w:space="0"/>
                    <w:bottom w:val="single" w:color="auto" w:sz="12" w:space="0"/>
                    <w:right w:val="nil"/>
                  </w:tcBorders>
                  <w:noWrap/>
                  <w:vAlign w:val="bottom"/>
                </w:tcPr>
                <w:p w14:paraId="699D08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sz w:val="18"/>
                      <w:szCs w:val="18"/>
                      <w:highlight w:val="none"/>
                      <w:lang w:val="en-US" w:eastAsia="zh-CN" w:bidi="ar-SA"/>
                    </w:rPr>
                  </w:pPr>
                </w:p>
              </w:tc>
            </w:tr>
          </w:tbl>
          <w:p w14:paraId="6A0ADA61">
            <w:pPr>
              <w:pStyle w:val="56"/>
              <w:numPr>
                <w:ilvl w:val="0"/>
                <w:numId w:val="0"/>
              </w:numPr>
              <w:rPr>
                <w:rFonts w:hint="default"/>
                <w:color w:val="FF0000"/>
                <w:highlight w:val="none"/>
                <w:lang w:val="en-US" w:eastAsia="zh-CN"/>
              </w:rPr>
            </w:pPr>
          </w:p>
        </w:tc>
      </w:tr>
      <w:tr w14:paraId="60E48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448" w:type="pct"/>
            <w:vAlign w:val="center"/>
          </w:tcPr>
          <w:p w14:paraId="23BC816C">
            <w:pPr>
              <w:adjustRightInd w:val="0"/>
              <w:snapToGrid w:val="0"/>
              <w:jc w:val="center"/>
              <w:rPr>
                <w:color w:val="FF0000"/>
                <w:kern w:val="0"/>
                <w:szCs w:val="21"/>
                <w:highlight w:val="none"/>
              </w:rPr>
            </w:pPr>
            <w:r>
              <w:rPr>
                <w:color w:val="auto"/>
                <w:kern w:val="0"/>
                <w:szCs w:val="21"/>
                <w:highlight w:val="none"/>
              </w:rPr>
              <w:t>总平面及现场布置</w:t>
            </w:r>
          </w:p>
        </w:tc>
        <w:tc>
          <w:tcPr>
            <w:tcW w:w="4551" w:type="pct"/>
            <w:vAlign w:val="center"/>
          </w:tcPr>
          <w:p w14:paraId="5F1291B9">
            <w:pPr>
              <w:pStyle w:val="56"/>
              <w:ind w:firstLine="420"/>
              <w:rPr>
                <w:color w:val="auto"/>
                <w:highlight w:val="none"/>
              </w:rPr>
            </w:pPr>
            <w:r>
              <w:rPr>
                <w:rFonts w:hint="eastAsia"/>
                <w:color w:val="auto"/>
                <w:highlight w:val="none"/>
              </w:rPr>
              <w:t>一、工程总体布局</w:t>
            </w:r>
          </w:p>
          <w:p w14:paraId="15E2F845">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lang w:val="en-US" w:eastAsia="zh-CN"/>
              </w:rPr>
              <w:t>本次饶河县大带河治理工程利用现状大带河堤防工程已有布局</w:t>
            </w:r>
            <w:r>
              <w:rPr>
                <w:rFonts w:hint="eastAsia"/>
                <w:color w:val="auto"/>
                <w:highlight w:val="none"/>
              </w:rPr>
              <w:t>，</w:t>
            </w:r>
            <w:r>
              <w:rPr>
                <w:rFonts w:hint="eastAsia"/>
                <w:color w:val="auto"/>
                <w:highlight w:val="none"/>
                <w:lang w:val="en-US" w:eastAsia="zh-CN"/>
              </w:rPr>
              <w:t>修建必要的堤防护坡工程</w:t>
            </w:r>
            <w:r>
              <w:rPr>
                <w:rFonts w:hint="eastAsia"/>
                <w:color w:val="auto"/>
                <w:highlight w:val="none"/>
              </w:rPr>
              <w:t>，构成完整的防洪工程体系。</w:t>
            </w:r>
          </w:p>
          <w:p w14:paraId="04A7B5E5">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rPr>
              <w:t>本次共</w:t>
            </w:r>
            <w:r>
              <w:rPr>
                <w:rFonts w:hint="eastAsia"/>
                <w:color w:val="auto"/>
                <w:highlight w:val="none"/>
                <w:lang w:val="en-US" w:eastAsia="zh-CN"/>
              </w:rPr>
              <w:t>新建堤防护坡</w:t>
            </w:r>
            <w:r>
              <w:rPr>
                <w:rFonts w:hint="eastAsia"/>
                <w:color w:val="auto"/>
                <w:highlight w:val="none"/>
              </w:rPr>
              <w:t>工程</w:t>
            </w:r>
            <w:r>
              <w:rPr>
                <w:rFonts w:hint="eastAsia"/>
                <w:color w:val="auto"/>
                <w:highlight w:val="none"/>
                <w:lang w:val="en-US" w:eastAsia="zh-CN"/>
              </w:rPr>
              <w:t>1</w:t>
            </w:r>
            <w:r>
              <w:rPr>
                <w:rFonts w:hint="eastAsia"/>
                <w:color w:val="auto"/>
                <w:highlight w:val="none"/>
              </w:rPr>
              <w:t>段，总长</w:t>
            </w:r>
            <w:r>
              <w:rPr>
                <w:rFonts w:hint="eastAsia"/>
                <w:color w:val="auto"/>
                <w:highlight w:val="none"/>
                <w:lang w:val="en-US" w:eastAsia="zh-CN"/>
              </w:rPr>
              <w:t>1.86k</w:t>
            </w:r>
            <w:r>
              <w:rPr>
                <w:rFonts w:hint="eastAsia"/>
                <w:color w:val="auto"/>
                <w:highlight w:val="none"/>
              </w:rPr>
              <w:t>m</w:t>
            </w:r>
            <w:r>
              <w:rPr>
                <w:rFonts w:hint="eastAsia"/>
                <w:color w:val="auto"/>
                <w:highlight w:val="none"/>
                <w:lang w:eastAsia="zh-CN"/>
              </w:rPr>
              <w:t>，</w:t>
            </w:r>
            <w:r>
              <w:rPr>
                <w:rFonts w:hint="eastAsia"/>
                <w:color w:val="auto"/>
                <w:highlight w:val="none"/>
                <w:lang w:val="en-US" w:eastAsia="zh-CN"/>
              </w:rPr>
              <w:t>位于大带河左岸</w:t>
            </w:r>
            <w:r>
              <w:rPr>
                <w:rFonts w:hint="eastAsia"/>
                <w:color w:val="auto"/>
                <w:highlight w:val="none"/>
              </w:rPr>
              <w:t>。</w:t>
            </w:r>
            <w:r>
              <w:rPr>
                <w:rFonts w:hint="eastAsia"/>
                <w:color w:val="auto"/>
                <w:highlight w:val="none"/>
                <w:lang w:val="en-US" w:eastAsia="zh-CN"/>
              </w:rPr>
              <w:t>堤防桩号</w:t>
            </w:r>
            <w:r>
              <w:rPr>
                <w:rFonts w:hint="eastAsia"/>
                <w:color w:val="auto"/>
                <w:highlight w:val="none"/>
              </w:rPr>
              <w:t>0+</w:t>
            </w:r>
            <w:r>
              <w:rPr>
                <w:rFonts w:hint="eastAsia"/>
                <w:color w:val="auto"/>
                <w:highlight w:val="none"/>
                <w:lang w:val="en-US" w:eastAsia="zh-CN"/>
              </w:rPr>
              <w:t>34</w:t>
            </w:r>
            <w:r>
              <w:rPr>
                <w:rFonts w:hint="eastAsia"/>
                <w:color w:val="auto"/>
                <w:highlight w:val="none"/>
              </w:rPr>
              <w:t>0～</w:t>
            </w:r>
            <w:r>
              <w:rPr>
                <w:rFonts w:hint="eastAsia"/>
                <w:color w:val="auto"/>
                <w:highlight w:val="none"/>
                <w:lang w:val="en-US" w:eastAsia="zh-CN"/>
              </w:rPr>
              <w:t>2</w:t>
            </w:r>
            <w:r>
              <w:rPr>
                <w:rFonts w:hint="eastAsia"/>
                <w:color w:val="auto"/>
                <w:highlight w:val="none"/>
              </w:rPr>
              <w:t>+</w:t>
            </w:r>
            <w:r>
              <w:rPr>
                <w:rFonts w:hint="eastAsia"/>
                <w:color w:val="auto"/>
                <w:highlight w:val="none"/>
                <w:lang w:val="en-US" w:eastAsia="zh-CN"/>
              </w:rPr>
              <w:t>800</w:t>
            </w:r>
            <w:r>
              <w:rPr>
                <w:rFonts w:hint="eastAsia"/>
                <w:color w:val="auto"/>
                <w:highlight w:val="none"/>
              </w:rPr>
              <w:t>段</w:t>
            </w:r>
            <w:r>
              <w:rPr>
                <w:rFonts w:hint="eastAsia"/>
                <w:color w:val="auto"/>
                <w:highlight w:val="none"/>
                <w:lang w:eastAsia="zh-CN"/>
              </w:rPr>
              <w:t>，</w:t>
            </w:r>
            <w:r>
              <w:rPr>
                <w:rFonts w:hint="eastAsia"/>
                <w:color w:val="auto"/>
                <w:highlight w:val="none"/>
                <w:lang w:val="en-US" w:eastAsia="zh-CN"/>
              </w:rPr>
              <w:t>迎水侧填塘1.86km</w:t>
            </w:r>
            <w:r>
              <w:rPr>
                <w:rFonts w:hint="eastAsia"/>
                <w:color w:val="auto"/>
                <w:highlight w:val="none"/>
              </w:rPr>
              <w:t>。</w:t>
            </w:r>
          </w:p>
          <w:p w14:paraId="43BC5B9C">
            <w:pPr>
              <w:keepNext w:val="0"/>
              <w:keepLines w:val="0"/>
              <w:pageBreakBefore w:val="0"/>
              <w:widowControl w:val="0"/>
              <w:kinsoku/>
              <w:wordWrap/>
              <w:overflowPunct/>
              <w:topLinePunct w:val="0"/>
              <w:autoSpaceDE/>
              <w:autoSpaceDN/>
              <w:bidi w:val="0"/>
              <w:adjustRightInd/>
              <w:snapToGrid/>
              <w:spacing w:line="360" w:lineRule="auto"/>
              <w:ind w:left="40" w:firstLine="480"/>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rPr>
              <w:t>堤防护坡采用23cm的雷诺护垫护坡，下设砂垫层10cm和土工膜一层</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护坡顶高程同堤顶，护坡顶部设置50cm</w:t>
            </w:r>
            <w:r>
              <w:rPr>
                <w:rFonts w:hint="eastAsia" w:ascii="Times New Roman" w:hAnsi="Times New Roman" w:eastAsia="宋体" w:cs="Times New Roman"/>
                <w:color w:val="auto"/>
                <w:highlight w:val="none"/>
                <w:lang w:val="en-US" w:eastAsia="zh-CN"/>
              </w:rPr>
              <w:t>宽</w:t>
            </w:r>
            <w:r>
              <w:rPr>
                <w:rFonts w:hint="eastAsia" w:ascii="Times New Roman" w:hAnsi="Times New Roman" w:eastAsia="宋体" w:cs="Times New Roman"/>
                <w:color w:val="auto"/>
                <w:highlight w:val="none"/>
              </w:rPr>
              <w:t>封顶</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结构型式同护坡</w:t>
            </w:r>
            <w:r>
              <w:rPr>
                <w:rFonts w:hint="eastAsia" w:ascii="Times New Roman" w:hAnsi="Times New Roman" w:eastAsia="宋体" w:cs="Times New Roman"/>
                <w:color w:val="auto"/>
                <w:highlight w:val="none"/>
              </w:rPr>
              <w:t>。护坡段堤脚设置格宾石笼护脚，结合冲刷深度计算，护脚宽度4m，厚度40cm，下设砂垫层10cm和土工膜一层</w:t>
            </w:r>
            <w:r>
              <w:rPr>
                <w:rFonts w:hint="eastAsia" w:ascii="Times New Roman" w:hAnsi="Times New Roman" w:eastAsia="宋体" w:cs="Times New Roman"/>
                <w:color w:val="auto"/>
                <w:highlight w:val="none"/>
                <w:lang w:eastAsia="zh-CN"/>
              </w:rPr>
              <w:t>。</w:t>
            </w:r>
          </w:p>
          <w:p w14:paraId="23172A65">
            <w:pPr>
              <w:pStyle w:val="56"/>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auto"/>
                <w:highlight w:val="none"/>
                <w:lang w:val="en-US" w:eastAsia="zh-CN"/>
              </w:rPr>
            </w:pPr>
            <w:r>
              <w:rPr>
                <w:rFonts w:hint="eastAsia"/>
                <w:color w:val="auto"/>
                <w:highlight w:val="none"/>
                <w:lang w:val="en-US" w:eastAsia="zh-CN"/>
              </w:rPr>
              <w:t>二</w:t>
            </w:r>
            <w:r>
              <w:rPr>
                <w:rFonts w:hint="eastAsia"/>
                <w:color w:val="auto"/>
                <w:highlight w:val="none"/>
              </w:rPr>
              <w:t>、</w:t>
            </w:r>
            <w:r>
              <w:rPr>
                <w:rFonts w:hint="eastAsia"/>
                <w:color w:val="auto"/>
                <w:highlight w:val="none"/>
                <w:lang w:val="en-US" w:eastAsia="zh-CN"/>
              </w:rPr>
              <w:t>施工总布置</w:t>
            </w:r>
          </w:p>
          <w:p w14:paraId="59D2956E">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bookmarkStart w:id="5" w:name="_Toc14720"/>
            <w:bookmarkStart w:id="6" w:name="_Toc437613754"/>
            <w:bookmarkStart w:id="7" w:name="_Toc30707"/>
            <w:bookmarkStart w:id="8" w:name="_Toc91278276"/>
            <w:r>
              <w:rPr>
                <w:rFonts w:hint="eastAsia"/>
                <w:color w:val="auto"/>
                <w:highlight w:val="none"/>
                <w:lang w:val="en-US" w:eastAsia="zh-CN"/>
              </w:rPr>
              <w:t>1、</w:t>
            </w:r>
            <w:r>
              <w:rPr>
                <w:rFonts w:hint="eastAsia"/>
                <w:color w:val="auto"/>
                <w:highlight w:val="none"/>
              </w:rPr>
              <w:t>施工</w:t>
            </w:r>
            <w:r>
              <w:rPr>
                <w:rFonts w:hint="eastAsia"/>
                <w:color w:val="auto"/>
                <w:highlight w:val="none"/>
                <w:lang w:val="en-US" w:eastAsia="zh-CN"/>
              </w:rPr>
              <w:t>生产</w:t>
            </w:r>
            <w:r>
              <w:rPr>
                <w:rFonts w:hint="eastAsia"/>
                <w:color w:val="auto"/>
                <w:highlight w:val="none"/>
              </w:rPr>
              <w:t>生活区布置</w:t>
            </w:r>
          </w:p>
          <w:p w14:paraId="60D95035">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lang w:val="en-US" w:eastAsia="zh-CN"/>
              </w:rPr>
              <w:t>本工程不新增生活区，新增施工人员租用附近房屋解决，施工现场生产区设置在现状堤防施工区域内。</w:t>
            </w:r>
          </w:p>
          <w:p w14:paraId="2F7DBC56">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ascii="Times New Roman" w:hAnsi="Times New Roman" w:eastAsia="宋体" w:cs="Times New Roman"/>
                <w:color w:val="auto"/>
                <w:highlight w:val="none"/>
                <w:lang w:val="en-US" w:eastAsia="zh-CN"/>
              </w:rPr>
              <w:t>2、</w:t>
            </w:r>
            <w:r>
              <w:rPr>
                <w:rFonts w:hint="eastAsia"/>
                <w:color w:val="auto"/>
                <w:highlight w:val="none"/>
              </w:rPr>
              <w:t>建筑材料及水、电供应条件</w:t>
            </w:r>
          </w:p>
          <w:p w14:paraId="4327B291">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lang w:val="en-US" w:eastAsia="zh-CN"/>
              </w:rPr>
              <w:t>汽油、柴油由饶河县购买，生产区不贮存；</w:t>
            </w:r>
            <w:r>
              <w:rPr>
                <w:rFonts w:hint="eastAsia"/>
                <w:color w:val="auto"/>
                <w:highlight w:val="none"/>
              </w:rPr>
              <w:t>本次所需天然建筑材料，所需块石料2.7万方，由三人班石场购买，运距约80km，工程用砂砾料由饶河县三人班砂场提供，运距约50km。施工供水主要包括生活用水、生产用水。生活用水可充分利用沿线村屯内的自来水，生产用水</w:t>
            </w:r>
            <w:r>
              <w:rPr>
                <w:rFonts w:hint="eastAsia"/>
                <w:color w:val="auto"/>
                <w:highlight w:val="none"/>
                <w:lang w:val="en-US" w:eastAsia="zh-CN"/>
              </w:rPr>
              <w:t>为洒水降尘用水，</w:t>
            </w:r>
            <w:r>
              <w:rPr>
                <w:rFonts w:hint="eastAsia"/>
                <w:color w:val="auto"/>
                <w:highlight w:val="none"/>
              </w:rPr>
              <w:t>可直接利用河水。本工程用电量少，工程用电采用自发电。</w:t>
            </w:r>
          </w:p>
          <w:p w14:paraId="12B90E80">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bookmarkStart w:id="9" w:name="_Toc11826"/>
            <w:bookmarkStart w:id="10" w:name="_Toc91278272"/>
            <w:bookmarkStart w:id="11" w:name="_Toc31854"/>
            <w:r>
              <w:rPr>
                <w:rFonts w:hint="eastAsia"/>
                <w:color w:val="auto"/>
                <w:highlight w:val="none"/>
                <w:lang w:val="en-US" w:eastAsia="zh-CN"/>
              </w:rPr>
              <w:t>3、</w:t>
            </w:r>
            <w:r>
              <w:rPr>
                <w:rFonts w:hint="eastAsia"/>
                <w:color w:val="auto"/>
                <w:highlight w:val="none"/>
              </w:rPr>
              <w:t>料场的选择与开采</w:t>
            </w:r>
            <w:bookmarkEnd w:id="9"/>
            <w:bookmarkEnd w:id="10"/>
            <w:bookmarkEnd w:id="11"/>
          </w:p>
          <w:p w14:paraId="6423BE8A">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rPr>
              <w:t>工程主要的回填量为风化料</w:t>
            </w:r>
            <w:r>
              <w:rPr>
                <w:rFonts w:hint="eastAsia"/>
                <w:color w:val="auto"/>
                <w:highlight w:val="none"/>
                <w:lang w:val="en-US" w:eastAsia="zh-CN"/>
              </w:rPr>
              <w:t>堤防边坡</w:t>
            </w:r>
            <w:r>
              <w:rPr>
                <w:rFonts w:hint="eastAsia"/>
                <w:color w:val="auto"/>
                <w:highlight w:val="none"/>
              </w:rPr>
              <w:t>回填</w:t>
            </w:r>
            <w:r>
              <w:rPr>
                <w:rFonts w:hint="eastAsia"/>
                <w:color w:val="auto"/>
                <w:highlight w:val="none"/>
                <w:lang w:eastAsia="zh-CN"/>
              </w:rPr>
              <w:t>，</w:t>
            </w:r>
            <w:r>
              <w:rPr>
                <w:rFonts w:hint="eastAsia"/>
                <w:color w:val="auto"/>
                <w:highlight w:val="none"/>
              </w:rPr>
              <w:t>风化料外购解决。</w:t>
            </w:r>
          </w:p>
          <w:p w14:paraId="2AC3586F">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4、对外交通</w:t>
            </w:r>
          </w:p>
          <w:p w14:paraId="587F092C">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对外交通：对外交通非常便利，有省道G331，G229横贯境内。</w:t>
            </w:r>
          </w:p>
          <w:p w14:paraId="479073C5">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5、场内交通</w:t>
            </w:r>
          </w:p>
          <w:p w14:paraId="09256885">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lang w:val="en-US" w:eastAsia="zh-CN"/>
              </w:rPr>
            </w:pPr>
            <w:bookmarkStart w:id="12" w:name="_Toc31337"/>
            <w:bookmarkStart w:id="13" w:name="_Toc1436"/>
            <w:bookmarkStart w:id="14" w:name="_Toc91278273"/>
            <w:r>
              <w:rPr>
                <w:rFonts w:hint="eastAsia"/>
                <w:color w:val="auto"/>
                <w:highlight w:val="none"/>
                <w:lang w:val="en-US" w:eastAsia="zh-CN"/>
              </w:rPr>
              <w:t>本工程场内交通为利用现状堤顶路运输方式，不新增临时道路。</w:t>
            </w:r>
          </w:p>
          <w:p w14:paraId="2AAE0076">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lang w:val="en-US" w:eastAsia="zh-CN"/>
              </w:rPr>
              <w:t>6、</w:t>
            </w:r>
            <w:r>
              <w:rPr>
                <w:rFonts w:hint="eastAsia"/>
                <w:color w:val="auto"/>
                <w:highlight w:val="none"/>
              </w:rPr>
              <w:t>施工导截流</w:t>
            </w:r>
            <w:bookmarkEnd w:id="12"/>
            <w:bookmarkEnd w:id="13"/>
            <w:bookmarkEnd w:id="14"/>
          </w:p>
          <w:p w14:paraId="4519AC2E">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rPr>
              <w:t>根据工程特点，工程均可在枯水期施工，无需施工导流。</w:t>
            </w:r>
          </w:p>
          <w:p w14:paraId="34172BBD">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rPr>
            </w:pPr>
            <w:r>
              <w:rPr>
                <w:rFonts w:hint="eastAsia"/>
                <w:color w:val="auto"/>
                <w:highlight w:val="none"/>
                <w:lang w:val="en-US" w:eastAsia="zh-CN"/>
              </w:rPr>
              <w:t>7、施工</w:t>
            </w:r>
            <w:r>
              <w:rPr>
                <w:rFonts w:hint="eastAsia"/>
                <w:color w:val="auto"/>
                <w:highlight w:val="none"/>
              </w:rPr>
              <w:t>占地</w:t>
            </w:r>
          </w:p>
          <w:p w14:paraId="00D238C6">
            <w:pPr>
              <w:pStyle w:val="56"/>
              <w:keepNext w:val="0"/>
              <w:keepLines w:val="0"/>
              <w:pageBreakBefore w:val="0"/>
              <w:widowControl w:val="0"/>
              <w:kinsoku/>
              <w:wordWrap/>
              <w:overflowPunct/>
              <w:topLinePunct w:val="0"/>
              <w:autoSpaceDE/>
              <w:autoSpaceDN/>
              <w:bidi w:val="0"/>
              <w:adjustRightInd/>
              <w:snapToGrid/>
              <w:ind w:firstLine="420"/>
              <w:textAlignment w:val="auto"/>
              <w:rPr>
                <w:rFonts w:hint="eastAsia"/>
                <w:color w:val="auto"/>
                <w:highlight w:val="none"/>
                <w:lang w:val="en-US" w:eastAsia="zh-CN"/>
              </w:rPr>
            </w:pPr>
            <w:r>
              <w:rPr>
                <w:rFonts w:hint="eastAsia"/>
                <w:color w:val="auto"/>
                <w:highlight w:val="none"/>
                <w:lang w:val="en-US" w:eastAsia="zh-CN"/>
              </w:rPr>
              <w:t>工程永久征地为原堤防工程范围内，不涉及新增永久占地。工程无新增新建临时道路，不新增其他临时占地。</w:t>
            </w:r>
          </w:p>
          <w:p w14:paraId="234FC77A">
            <w:pPr>
              <w:pStyle w:val="56"/>
              <w:keepNext w:val="0"/>
              <w:keepLines w:val="0"/>
              <w:pageBreakBefore w:val="0"/>
              <w:widowControl w:val="0"/>
              <w:kinsoku/>
              <w:wordWrap/>
              <w:overflowPunct/>
              <w:topLinePunct w:val="0"/>
              <w:autoSpaceDE/>
              <w:autoSpaceDN/>
              <w:bidi w:val="0"/>
              <w:adjustRightInd/>
              <w:snapToGrid/>
              <w:ind w:firstLine="420"/>
              <w:textAlignment w:val="auto"/>
              <w:rPr>
                <w:rFonts w:hint="default"/>
                <w:color w:val="auto"/>
                <w:highlight w:val="none"/>
                <w:lang w:val="en-US" w:eastAsia="zh-CN"/>
              </w:rPr>
            </w:pPr>
            <w:r>
              <w:rPr>
                <w:rFonts w:hint="eastAsia"/>
                <w:color w:val="auto"/>
                <w:highlight w:val="none"/>
                <w:lang w:val="en-US" w:eastAsia="zh-CN"/>
              </w:rPr>
              <w:t>8、弃土场</w:t>
            </w:r>
          </w:p>
          <w:p w14:paraId="02E9DD89">
            <w:pPr>
              <w:pStyle w:val="56"/>
              <w:keepNext w:val="0"/>
              <w:keepLines w:val="0"/>
              <w:pageBreakBefore w:val="0"/>
              <w:widowControl w:val="0"/>
              <w:kinsoku/>
              <w:wordWrap/>
              <w:overflowPunct/>
              <w:topLinePunct w:val="0"/>
              <w:autoSpaceDE/>
              <w:autoSpaceDN/>
              <w:bidi w:val="0"/>
              <w:adjustRightInd/>
              <w:snapToGrid/>
              <w:ind w:firstLine="420"/>
              <w:textAlignment w:val="auto"/>
              <w:rPr>
                <w:color w:val="FF0000"/>
                <w:highlight w:val="none"/>
              </w:rPr>
            </w:pPr>
            <w:r>
              <w:rPr>
                <w:rFonts w:hint="eastAsia"/>
                <w:color w:val="auto"/>
                <w:highlight w:val="none"/>
                <w:lang w:val="en-US" w:eastAsia="zh-CN"/>
              </w:rPr>
              <w:t>挖方全部回填利用，故不设置弃土场。</w:t>
            </w:r>
            <w:bookmarkEnd w:id="5"/>
            <w:bookmarkEnd w:id="6"/>
            <w:bookmarkEnd w:id="7"/>
            <w:bookmarkEnd w:id="8"/>
          </w:p>
        </w:tc>
      </w:tr>
      <w:tr w14:paraId="766D8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8" w:type="pct"/>
            <w:vAlign w:val="center"/>
          </w:tcPr>
          <w:p w14:paraId="3B30855C">
            <w:pPr>
              <w:adjustRightInd w:val="0"/>
              <w:snapToGrid w:val="0"/>
              <w:jc w:val="center"/>
              <w:rPr>
                <w:color w:val="FF0000"/>
                <w:kern w:val="0"/>
                <w:szCs w:val="21"/>
                <w:highlight w:val="none"/>
              </w:rPr>
            </w:pPr>
            <w:r>
              <w:rPr>
                <w:color w:val="auto"/>
                <w:kern w:val="0"/>
                <w:szCs w:val="21"/>
                <w:highlight w:val="none"/>
              </w:rPr>
              <w:t>施工方案</w:t>
            </w:r>
          </w:p>
        </w:tc>
        <w:tc>
          <w:tcPr>
            <w:tcW w:w="4551" w:type="pct"/>
            <w:vAlign w:val="center"/>
          </w:tcPr>
          <w:p w14:paraId="5AF6295F">
            <w:pPr>
              <w:pStyle w:val="56"/>
              <w:ind w:firstLine="420"/>
              <w:rPr>
                <w:rFonts w:hint="default" w:eastAsia="宋体"/>
                <w:color w:val="auto"/>
                <w:highlight w:val="none"/>
                <w:lang w:val="en-US" w:eastAsia="zh-CN"/>
              </w:rPr>
            </w:pPr>
            <w:r>
              <w:rPr>
                <w:rFonts w:hint="eastAsia"/>
                <w:color w:val="auto"/>
                <w:highlight w:val="none"/>
                <w:lang w:val="en-US" w:eastAsia="zh-CN"/>
              </w:rPr>
              <w:t>1、主体工程施工</w:t>
            </w:r>
          </w:p>
          <w:p w14:paraId="32AA0CF4">
            <w:pPr>
              <w:pStyle w:val="56"/>
              <w:ind w:firstLine="420"/>
              <w:rPr>
                <w:color w:val="auto"/>
                <w:highlight w:val="none"/>
              </w:rPr>
            </w:pPr>
            <w:r>
              <w:rPr>
                <w:rFonts w:hint="eastAsia"/>
                <w:color w:val="auto"/>
                <w:highlight w:val="none"/>
              </w:rPr>
              <w:t>（1）</w:t>
            </w:r>
            <w:r>
              <w:rPr>
                <w:color w:val="auto"/>
                <w:highlight w:val="none"/>
              </w:rPr>
              <w:t>削坡土方：采用</w:t>
            </w:r>
            <w:r>
              <w:rPr>
                <w:rFonts w:hint="eastAsia"/>
                <w:color w:val="auto"/>
                <w:highlight w:val="none"/>
                <w:lang w:val="en-US" w:eastAsia="zh-CN"/>
              </w:rPr>
              <w:t>2</w:t>
            </w:r>
            <w:r>
              <w:rPr>
                <w:color w:val="auto"/>
                <w:highlight w:val="none"/>
              </w:rPr>
              <w:t>m</w:t>
            </w:r>
            <w:r>
              <w:rPr>
                <w:color w:val="auto"/>
                <w:highlight w:val="none"/>
                <w:vertAlign w:val="superscript"/>
              </w:rPr>
              <w:t>3</w:t>
            </w:r>
            <w:r>
              <w:rPr>
                <w:color w:val="auto"/>
                <w:highlight w:val="none"/>
              </w:rPr>
              <w:t>挖掘机开挖土方，配合103kw推土机推至</w:t>
            </w:r>
            <w:r>
              <w:rPr>
                <w:rFonts w:hint="eastAsia"/>
                <w:color w:val="auto"/>
                <w:highlight w:val="none"/>
                <w:lang w:val="en-US" w:eastAsia="zh-CN"/>
              </w:rPr>
              <w:t>坡脚回填坑塘水面</w:t>
            </w:r>
            <w:r>
              <w:rPr>
                <w:color w:val="auto"/>
                <w:highlight w:val="none"/>
              </w:rPr>
              <w:t>。</w:t>
            </w:r>
          </w:p>
          <w:p w14:paraId="0CAD73F5">
            <w:pPr>
              <w:pStyle w:val="56"/>
              <w:ind w:firstLine="420"/>
              <w:rPr>
                <w:color w:val="auto"/>
                <w:highlight w:val="none"/>
              </w:rPr>
            </w:pPr>
            <w:r>
              <w:rPr>
                <w:rFonts w:hint="eastAsia"/>
                <w:color w:val="auto"/>
                <w:highlight w:val="none"/>
              </w:rPr>
              <w:t>（2）</w:t>
            </w:r>
            <w:r>
              <w:rPr>
                <w:color w:val="auto"/>
                <w:highlight w:val="none"/>
              </w:rPr>
              <w:t>土方回填：采用逐层填筑碾压的施工方法。回填料采用74kW推土机摊铺，拖拉机压实，部分边角区域可采用蛙夯夯实，回填土的铺筑层厚及碾压遍数由现场试验而定。</w:t>
            </w:r>
          </w:p>
          <w:p w14:paraId="00B04CA2">
            <w:pPr>
              <w:pStyle w:val="56"/>
              <w:ind w:firstLine="420"/>
              <w:rPr>
                <w:rFonts w:hint="eastAsia"/>
                <w:color w:val="auto"/>
                <w:highlight w:val="none"/>
              </w:rPr>
            </w:pPr>
            <w:r>
              <w:rPr>
                <w:rFonts w:hint="eastAsia"/>
                <w:color w:val="auto"/>
                <w:highlight w:val="none"/>
              </w:rPr>
              <w:t>（</w:t>
            </w:r>
            <w:r>
              <w:rPr>
                <w:rFonts w:hint="eastAsia"/>
                <w:color w:val="auto"/>
                <w:highlight w:val="none"/>
                <w:lang w:val="en-US" w:eastAsia="zh-CN"/>
              </w:rPr>
              <w:t>3</w:t>
            </w:r>
            <w:r>
              <w:rPr>
                <w:rFonts w:hint="eastAsia"/>
                <w:color w:val="auto"/>
                <w:highlight w:val="none"/>
              </w:rPr>
              <w:t>）石方备料</w:t>
            </w:r>
          </w:p>
          <w:p w14:paraId="2B7896EC">
            <w:pPr>
              <w:pStyle w:val="56"/>
              <w:ind w:firstLine="420"/>
              <w:rPr>
                <w:rFonts w:hint="eastAsia"/>
                <w:color w:val="auto"/>
                <w:highlight w:val="none"/>
              </w:rPr>
            </w:pPr>
            <w:r>
              <w:rPr>
                <w:rFonts w:hint="eastAsia"/>
                <w:color w:val="auto"/>
                <w:highlight w:val="none"/>
              </w:rPr>
              <w:t>根据施工条件，根据设计材料用量，对周边地区料场进行调查，合理安排备料车辆行走路线，采用10t自卸汽车、挖掘机及架子车等机械设备进行运输，进料时安排专人进行质量检测。</w:t>
            </w:r>
          </w:p>
          <w:p w14:paraId="0D46D5C5">
            <w:pPr>
              <w:pStyle w:val="56"/>
              <w:ind w:firstLine="420"/>
              <w:rPr>
                <w:rFonts w:hint="eastAsia"/>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）格宾（雷诺</w:t>
            </w:r>
            <w:r>
              <w:rPr>
                <w:color w:val="auto"/>
                <w:highlight w:val="none"/>
              </w:rPr>
              <w:t>）</w:t>
            </w:r>
            <w:r>
              <w:rPr>
                <w:rFonts w:hint="eastAsia"/>
                <w:color w:val="auto"/>
                <w:highlight w:val="none"/>
              </w:rPr>
              <w:t>工程</w:t>
            </w:r>
          </w:p>
          <w:p w14:paraId="65DA34D6">
            <w:pPr>
              <w:pStyle w:val="56"/>
              <w:ind w:firstLine="420"/>
              <w:rPr>
                <w:rFonts w:hint="eastAsia"/>
                <w:color w:val="auto"/>
                <w:highlight w:val="none"/>
              </w:rPr>
            </w:pPr>
            <w:r>
              <w:rPr>
                <w:rFonts w:hint="eastAsia"/>
                <w:color w:val="auto"/>
                <w:highlight w:val="none"/>
              </w:rPr>
              <w:t>岸坡削坡完成后，自护脚外边缘向固脚方向铺展格宾（雷诺</w:t>
            </w:r>
            <w:r>
              <w:rPr>
                <w:color w:val="auto"/>
                <w:highlight w:val="none"/>
              </w:rPr>
              <w:t>）</w:t>
            </w:r>
            <w:r>
              <w:rPr>
                <w:rFonts w:hint="eastAsia"/>
                <w:color w:val="auto"/>
                <w:highlight w:val="none"/>
              </w:rPr>
              <w:t>网单元。</w:t>
            </w:r>
          </w:p>
          <w:p w14:paraId="1CA316B5">
            <w:pPr>
              <w:pStyle w:val="56"/>
              <w:ind w:firstLine="420"/>
              <w:rPr>
                <w:rFonts w:hint="eastAsia"/>
                <w:color w:val="auto"/>
                <w:highlight w:val="none"/>
              </w:rPr>
            </w:pPr>
            <w:r>
              <w:rPr>
                <w:color w:val="auto"/>
                <w:highlight w:val="none"/>
              </w:rPr>
              <w:t>1</w:t>
            </w:r>
            <w:r>
              <w:rPr>
                <w:rFonts w:hint="eastAsia"/>
                <w:color w:val="auto"/>
                <w:highlight w:val="none"/>
              </w:rPr>
              <w:t>）石笼定位：定位采用在岸上近固脚边缘位置钉φ22的螺纹钢筋钉入自然岸边固定，用8#铁线绑扎与笼体连接固定。石笼与固脚用砌石连接紧密，避免形成两体。相邻石笼竖直边缘间隔15cm以单圈-双圈-单圈进行绞合。绞合铁线材质必须与石笼网相同。</w:t>
            </w:r>
          </w:p>
          <w:p w14:paraId="280C31AE">
            <w:pPr>
              <w:pStyle w:val="56"/>
              <w:ind w:firstLine="420"/>
              <w:rPr>
                <w:rFonts w:hint="eastAsia"/>
                <w:color w:val="auto"/>
                <w:highlight w:val="none"/>
              </w:rPr>
            </w:pPr>
            <w:r>
              <w:rPr>
                <w:color w:val="auto"/>
                <w:highlight w:val="none"/>
              </w:rPr>
              <w:t>2</w:t>
            </w:r>
            <w:r>
              <w:rPr>
                <w:rFonts w:hint="eastAsia"/>
                <w:color w:val="auto"/>
                <w:highlight w:val="none"/>
              </w:rPr>
              <w:t>）填充石料：石料填充应自石笼外边缘向内侧逐格填充，采用人工的方法。石料填充饱满，大小均匀，每层填筑厚度不大于</w:t>
            </w:r>
            <w:r>
              <w:rPr>
                <w:color w:val="auto"/>
                <w:highlight w:val="none"/>
              </w:rPr>
              <w:t>15</w:t>
            </w:r>
            <w:r>
              <w:rPr>
                <w:rFonts w:hint="eastAsia"/>
                <w:color w:val="auto"/>
                <w:highlight w:val="none"/>
              </w:rPr>
              <w:t>cm为宜，分二层填满，小块石料不宜放在石笼边缘位置。顶面填充石料应略高出网箱。</w:t>
            </w:r>
          </w:p>
          <w:p w14:paraId="72B3B74E">
            <w:pPr>
              <w:pStyle w:val="56"/>
              <w:ind w:firstLine="420"/>
              <w:rPr>
                <w:rFonts w:hint="eastAsia"/>
                <w:color w:val="auto"/>
                <w:highlight w:val="none"/>
              </w:rPr>
            </w:pPr>
            <w:r>
              <w:rPr>
                <w:color w:val="auto"/>
                <w:highlight w:val="none"/>
              </w:rPr>
              <w:t>3</w:t>
            </w:r>
            <w:r>
              <w:rPr>
                <w:rFonts w:hint="eastAsia"/>
                <w:color w:val="auto"/>
                <w:highlight w:val="none"/>
              </w:rPr>
              <w:t>）盖板：待石料装满网箱后，平整顶面，留有最小空隙后覆盖上网盖。封盖前用小撬棍将网箱四边网线拉正，顶盖与网箱边框，顶盖与隔断顶边，相邻顶盖之间，岸间隔15cm以单圈-双圈-单圈用与格宾石笼网同材质钢丝进行绞合紧密。使石笼单元连接为整体。</w:t>
            </w:r>
          </w:p>
          <w:p w14:paraId="31B1F428">
            <w:pPr>
              <w:pStyle w:val="56"/>
              <w:ind w:firstLine="420"/>
              <w:rPr>
                <w:color w:val="auto"/>
                <w:highlight w:val="none"/>
              </w:rPr>
            </w:pPr>
            <w:r>
              <w:rPr>
                <w:rFonts w:hint="eastAsia"/>
                <w:color w:val="auto"/>
                <w:highlight w:val="none"/>
              </w:rPr>
              <w:t>（</w:t>
            </w:r>
            <w:r>
              <w:rPr>
                <w:rFonts w:hint="eastAsia"/>
                <w:color w:val="auto"/>
                <w:highlight w:val="none"/>
                <w:lang w:val="en-US" w:eastAsia="zh-CN"/>
              </w:rPr>
              <w:t>5</w:t>
            </w:r>
            <w:r>
              <w:rPr>
                <w:rFonts w:hint="eastAsia"/>
                <w:color w:val="auto"/>
                <w:highlight w:val="none"/>
              </w:rPr>
              <w:t>）土工膜</w:t>
            </w:r>
          </w:p>
          <w:p w14:paraId="1373E91C">
            <w:pPr>
              <w:pStyle w:val="56"/>
              <w:ind w:firstLine="420"/>
              <w:rPr>
                <w:color w:val="auto"/>
                <w:highlight w:val="none"/>
              </w:rPr>
            </w:pPr>
            <w:r>
              <w:rPr>
                <w:rFonts w:hint="eastAsia"/>
                <w:color w:val="auto"/>
                <w:highlight w:val="none"/>
              </w:rPr>
              <w:t>按</w:t>
            </w:r>
            <w:r>
              <w:rPr>
                <w:color w:val="auto"/>
                <w:highlight w:val="none"/>
              </w:rPr>
              <w:t>照设计要求进行人工铺设</w:t>
            </w:r>
            <w:r>
              <w:rPr>
                <w:rFonts w:hint="eastAsia"/>
                <w:color w:val="auto"/>
                <w:highlight w:val="none"/>
              </w:rPr>
              <w:t>，</w:t>
            </w:r>
            <w:r>
              <w:rPr>
                <w:color w:val="auto"/>
                <w:highlight w:val="none"/>
              </w:rPr>
              <w:t>平整度和搭接长度要符合规范和设计要求</w:t>
            </w:r>
            <w:r>
              <w:rPr>
                <w:rFonts w:hint="eastAsia"/>
                <w:color w:val="auto"/>
                <w:highlight w:val="none"/>
              </w:rPr>
              <w:t>。</w:t>
            </w:r>
          </w:p>
          <w:p w14:paraId="18A7A273">
            <w:pPr>
              <w:pStyle w:val="56"/>
              <w:ind w:firstLine="420"/>
              <w:rPr>
                <w:color w:val="auto"/>
                <w:highlight w:val="none"/>
              </w:rPr>
            </w:pPr>
            <w:r>
              <w:rPr>
                <w:rFonts w:hint="eastAsia"/>
                <w:color w:val="auto"/>
                <w:highlight w:val="none"/>
              </w:rPr>
              <w:t>（</w:t>
            </w:r>
            <w:r>
              <w:rPr>
                <w:rFonts w:hint="eastAsia"/>
                <w:color w:val="auto"/>
                <w:highlight w:val="none"/>
                <w:lang w:val="en-US" w:eastAsia="zh-CN"/>
              </w:rPr>
              <w:t>6</w:t>
            </w:r>
            <w:r>
              <w:rPr>
                <w:color w:val="auto"/>
                <w:highlight w:val="none"/>
              </w:rPr>
              <w:t>）</w:t>
            </w:r>
            <w:r>
              <w:rPr>
                <w:rFonts w:hint="eastAsia"/>
                <w:color w:val="auto"/>
                <w:highlight w:val="none"/>
              </w:rPr>
              <w:t>垫层</w:t>
            </w:r>
          </w:p>
          <w:p w14:paraId="3F30DD07">
            <w:pPr>
              <w:pStyle w:val="56"/>
              <w:ind w:firstLine="420"/>
              <w:rPr>
                <w:color w:val="auto"/>
                <w:highlight w:val="none"/>
              </w:rPr>
            </w:pPr>
            <w:r>
              <w:rPr>
                <w:rFonts w:hint="eastAsia"/>
                <w:color w:val="auto"/>
                <w:highlight w:val="none"/>
              </w:rPr>
              <w:t>垫层施工采用人工铺筑，严格按照设计和规范要求的级配进行施工。</w:t>
            </w:r>
          </w:p>
          <w:p w14:paraId="4C759C9B">
            <w:pPr>
              <w:pStyle w:val="56"/>
              <w:ind w:firstLine="420"/>
              <w:rPr>
                <w:rFonts w:hint="eastAsia"/>
                <w:color w:val="auto"/>
                <w:highlight w:val="none"/>
                <w:lang w:val="en-US" w:eastAsia="zh-CN"/>
              </w:rPr>
            </w:pPr>
            <w:r>
              <w:rPr>
                <w:rFonts w:hint="eastAsia"/>
                <w:color w:val="auto"/>
                <w:highlight w:val="none"/>
                <w:lang w:val="en-US" w:eastAsia="zh-CN"/>
              </w:rPr>
              <w:t>2</w:t>
            </w:r>
            <w:r>
              <w:rPr>
                <w:rFonts w:hint="eastAsia"/>
                <w:color w:val="auto"/>
                <w:highlight w:val="none"/>
              </w:rPr>
              <w:t>、</w:t>
            </w:r>
            <w:r>
              <w:rPr>
                <w:rFonts w:hint="eastAsia"/>
                <w:color w:val="auto"/>
                <w:szCs w:val="21"/>
                <w:highlight w:val="none"/>
              </w:rPr>
              <w:t>施工时序</w:t>
            </w:r>
          </w:p>
          <w:p w14:paraId="3C0F37D6">
            <w:pPr>
              <w:pStyle w:val="56"/>
              <w:ind w:firstLine="420"/>
              <w:rPr>
                <w:color w:val="auto"/>
                <w:highlight w:val="none"/>
              </w:rPr>
            </w:pPr>
            <w:r>
              <w:rPr>
                <w:rFonts w:hint="eastAsia"/>
                <w:color w:val="auto"/>
                <w:highlight w:val="none"/>
                <w:lang w:val="en-US" w:eastAsia="zh-CN"/>
              </w:rPr>
              <w:t>施工的先后顺序为准备工作、</w:t>
            </w:r>
            <w:r>
              <w:rPr>
                <w:color w:val="auto"/>
                <w:highlight w:val="none"/>
              </w:rPr>
              <w:t>临时工程建设</w:t>
            </w:r>
            <w:r>
              <w:rPr>
                <w:rFonts w:hint="eastAsia"/>
                <w:color w:val="auto"/>
                <w:highlight w:val="none"/>
              </w:rPr>
              <w:t>、</w:t>
            </w:r>
            <w:r>
              <w:rPr>
                <w:color w:val="auto"/>
                <w:highlight w:val="none"/>
              </w:rPr>
              <w:t>设备进场、备料</w:t>
            </w:r>
            <w:r>
              <w:rPr>
                <w:rFonts w:hint="eastAsia"/>
                <w:color w:val="auto"/>
                <w:highlight w:val="none"/>
                <w:lang w:eastAsia="zh-CN"/>
              </w:rPr>
              <w:t>、</w:t>
            </w:r>
            <w:r>
              <w:rPr>
                <w:color w:val="auto"/>
                <w:highlight w:val="none"/>
              </w:rPr>
              <w:t>主体施工</w:t>
            </w:r>
            <w:r>
              <w:rPr>
                <w:rFonts w:hint="eastAsia"/>
                <w:color w:val="auto"/>
                <w:highlight w:val="none"/>
                <w:lang w:eastAsia="zh-CN"/>
              </w:rPr>
              <w:t>、</w:t>
            </w:r>
            <w:r>
              <w:rPr>
                <w:color w:val="auto"/>
                <w:highlight w:val="none"/>
              </w:rPr>
              <w:t>削坡整形、</w:t>
            </w:r>
            <w:r>
              <w:rPr>
                <w:rFonts w:hint="eastAsia"/>
                <w:color w:val="auto"/>
                <w:highlight w:val="none"/>
              </w:rPr>
              <w:t>雷诺</w:t>
            </w:r>
            <w:r>
              <w:rPr>
                <w:color w:val="auto"/>
                <w:highlight w:val="none"/>
              </w:rPr>
              <w:t>护坡及格宾施工。</w:t>
            </w:r>
          </w:p>
          <w:p w14:paraId="104A4F5D">
            <w:pPr>
              <w:pStyle w:val="56"/>
              <w:ind w:firstLine="420"/>
              <w:rPr>
                <w:rFonts w:hint="default" w:eastAsia="宋体"/>
                <w:color w:val="auto"/>
                <w:highlight w:val="none"/>
                <w:lang w:val="en-US" w:eastAsia="zh-CN"/>
              </w:rPr>
            </w:pPr>
            <w:r>
              <w:rPr>
                <w:rFonts w:hint="eastAsia"/>
                <w:color w:val="auto"/>
                <w:highlight w:val="none"/>
                <w:lang w:val="en-US" w:eastAsia="zh-CN"/>
              </w:rPr>
              <w:t>3、建设周期</w:t>
            </w:r>
          </w:p>
          <w:p w14:paraId="7F46ADE2">
            <w:pPr>
              <w:pStyle w:val="56"/>
              <w:ind w:firstLine="420"/>
              <w:rPr>
                <w:color w:val="FF0000"/>
                <w:highlight w:val="none"/>
              </w:rPr>
            </w:pPr>
            <w:r>
              <w:rPr>
                <w:color w:val="auto"/>
                <w:szCs w:val="21"/>
                <w:highlight w:val="none"/>
              </w:rPr>
              <w:t>本</w:t>
            </w:r>
            <w:r>
              <w:rPr>
                <w:rFonts w:hint="eastAsia"/>
                <w:color w:val="auto"/>
                <w:szCs w:val="21"/>
                <w:highlight w:val="none"/>
              </w:rPr>
              <w:t>项目</w:t>
            </w:r>
            <w:r>
              <w:rPr>
                <w:color w:val="auto"/>
                <w:szCs w:val="21"/>
                <w:highlight w:val="none"/>
              </w:rPr>
              <w:t>计划于202</w:t>
            </w:r>
            <w:r>
              <w:rPr>
                <w:rFonts w:hint="eastAsia"/>
                <w:color w:val="auto"/>
                <w:szCs w:val="21"/>
                <w:highlight w:val="none"/>
                <w:lang w:val="en-US" w:eastAsia="zh-CN"/>
              </w:rPr>
              <w:t>5</w:t>
            </w:r>
            <w:r>
              <w:rPr>
                <w:color w:val="auto"/>
                <w:szCs w:val="21"/>
                <w:highlight w:val="none"/>
              </w:rPr>
              <w:t>年</w:t>
            </w:r>
            <w:r>
              <w:rPr>
                <w:rFonts w:hint="eastAsia"/>
                <w:color w:val="auto"/>
                <w:szCs w:val="21"/>
                <w:highlight w:val="none"/>
                <w:lang w:val="en-US" w:eastAsia="zh-CN"/>
              </w:rPr>
              <w:t>6</w:t>
            </w:r>
            <w:r>
              <w:rPr>
                <w:color w:val="auto"/>
                <w:szCs w:val="21"/>
                <w:highlight w:val="none"/>
              </w:rPr>
              <w:t>月开工，202</w:t>
            </w:r>
            <w:r>
              <w:rPr>
                <w:rFonts w:hint="eastAsia"/>
                <w:color w:val="auto"/>
                <w:szCs w:val="21"/>
                <w:highlight w:val="none"/>
                <w:lang w:val="en-US" w:eastAsia="zh-CN"/>
              </w:rPr>
              <w:t>5</w:t>
            </w:r>
            <w:r>
              <w:rPr>
                <w:color w:val="auto"/>
                <w:szCs w:val="21"/>
                <w:highlight w:val="none"/>
              </w:rPr>
              <w:t>年</w:t>
            </w:r>
            <w:r>
              <w:rPr>
                <w:rFonts w:hint="eastAsia"/>
                <w:color w:val="auto"/>
                <w:szCs w:val="21"/>
                <w:highlight w:val="none"/>
                <w:lang w:val="en-US" w:eastAsia="zh-CN"/>
              </w:rPr>
              <w:t>7</w:t>
            </w:r>
            <w:r>
              <w:rPr>
                <w:color w:val="auto"/>
                <w:szCs w:val="21"/>
                <w:highlight w:val="none"/>
              </w:rPr>
              <w:t>月</w:t>
            </w:r>
            <w:r>
              <w:rPr>
                <w:rFonts w:hint="eastAsia"/>
                <w:color w:val="auto"/>
                <w:szCs w:val="21"/>
                <w:highlight w:val="none"/>
                <w:lang w:val="en-US" w:eastAsia="zh-CN"/>
              </w:rPr>
              <w:t>治理完成</w:t>
            </w:r>
            <w:r>
              <w:rPr>
                <w:color w:val="auto"/>
                <w:szCs w:val="21"/>
                <w:highlight w:val="none"/>
              </w:rPr>
              <w:t>，建设周期</w:t>
            </w:r>
            <w:r>
              <w:rPr>
                <w:rFonts w:hint="eastAsia"/>
                <w:color w:val="auto"/>
                <w:szCs w:val="21"/>
                <w:highlight w:val="none"/>
                <w:lang w:val="en-US" w:eastAsia="zh-CN"/>
              </w:rPr>
              <w:t>1</w:t>
            </w:r>
            <w:r>
              <w:rPr>
                <w:rFonts w:hint="eastAsia"/>
                <w:color w:val="auto"/>
                <w:szCs w:val="21"/>
                <w:highlight w:val="none"/>
              </w:rPr>
              <w:t>个月</w:t>
            </w:r>
            <w:r>
              <w:rPr>
                <w:color w:val="auto"/>
                <w:szCs w:val="21"/>
                <w:highlight w:val="none"/>
              </w:rPr>
              <w:t>。</w:t>
            </w:r>
          </w:p>
        </w:tc>
      </w:tr>
      <w:tr w14:paraId="2CE36B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35" w:hRule="atLeast"/>
          <w:jc w:val="center"/>
        </w:trPr>
        <w:tc>
          <w:tcPr>
            <w:tcW w:w="448" w:type="pct"/>
            <w:vAlign w:val="center"/>
          </w:tcPr>
          <w:p w14:paraId="0B6CB940">
            <w:pPr>
              <w:adjustRightInd w:val="0"/>
              <w:snapToGrid w:val="0"/>
              <w:jc w:val="center"/>
              <w:rPr>
                <w:rFonts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其他</w:t>
            </w:r>
          </w:p>
        </w:tc>
        <w:tc>
          <w:tcPr>
            <w:tcW w:w="4551" w:type="pct"/>
            <w:vAlign w:val="center"/>
          </w:tcPr>
          <w:p w14:paraId="5468FCC9">
            <w:pPr>
              <w:pStyle w:val="82"/>
              <w:keepNext w:val="0"/>
              <w:keepLines w:val="0"/>
              <w:pageBreakBefore w:val="0"/>
              <w:widowControl w:val="0"/>
              <w:kinsoku/>
              <w:wordWrap/>
              <w:overflowPunct/>
              <w:topLinePunct w:val="0"/>
              <w:autoSpaceDE/>
              <w:autoSpaceDN/>
              <w:bidi w:val="0"/>
              <w:adjustRightInd/>
              <w:snapToGrid w:val="0"/>
              <w:spacing w:before="0" w:beforeAutospacing="0" w:after="0" w:afterAutospacing="0" w:line="240" w:lineRule="auto"/>
              <w:ind w:firstLine="0" w:firstLineChars="0"/>
              <w:jc w:val="center"/>
              <w:textAlignment w:val="auto"/>
              <w:rPr>
                <w:rFonts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b w:val="0"/>
                <w:bCs/>
                <w:color w:val="auto"/>
                <w:kern w:val="2"/>
                <w:sz w:val="21"/>
                <w:szCs w:val="24"/>
                <w:highlight w:val="none"/>
                <w:lang w:val="en-US" w:eastAsia="zh-CN" w:bidi="ar-SA"/>
              </w:rPr>
              <w:t>无</w:t>
            </w:r>
          </w:p>
        </w:tc>
      </w:tr>
    </w:tbl>
    <w:p w14:paraId="6439228A">
      <w:pPr>
        <w:pStyle w:val="22"/>
        <w:jc w:val="center"/>
        <w:outlineLvl w:val="0"/>
        <w:rPr>
          <w:rFonts w:ascii="Times New Roman" w:hAnsi="Times New Roman" w:eastAsia="黑体"/>
          <w:snapToGrid w:val="0"/>
          <w:color w:val="auto"/>
          <w:sz w:val="30"/>
          <w:szCs w:val="30"/>
          <w:highlight w:val="none"/>
        </w:rPr>
      </w:pPr>
      <w:r>
        <w:rPr>
          <w:rFonts w:ascii="Times New Roman" w:hAnsi="Times New Roman" w:eastAsia="仿宋_GB2312"/>
          <w:b/>
          <w:bCs/>
          <w:color w:val="FF0000"/>
          <w:highlight w:val="none"/>
        </w:rPr>
        <w:br w:type="page"/>
      </w:r>
      <w:bookmarkStart w:id="15" w:name="_Toc30134"/>
      <w:r>
        <w:rPr>
          <w:rFonts w:ascii="Times New Roman" w:hAnsi="Times New Roman" w:eastAsia="黑体"/>
          <w:snapToGrid w:val="0"/>
          <w:color w:val="auto"/>
          <w:sz w:val="30"/>
          <w:szCs w:val="30"/>
          <w:highlight w:val="none"/>
        </w:rPr>
        <w:t>三、生态环境现状、保护目标及评价标准</w:t>
      </w:r>
      <w:bookmarkEnd w:id="15"/>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7511"/>
      </w:tblGrid>
      <w:tr w14:paraId="22E8E6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93" w:type="pct"/>
            <w:vAlign w:val="center"/>
          </w:tcPr>
          <w:p w14:paraId="7EEEF54D">
            <w:pPr>
              <w:adjustRightInd w:val="0"/>
              <w:snapToGrid w:val="0"/>
              <w:jc w:val="center"/>
              <w:rPr>
                <w:color w:val="FF0000"/>
                <w:kern w:val="0"/>
                <w:szCs w:val="21"/>
                <w:highlight w:val="none"/>
              </w:rPr>
            </w:pPr>
            <w:r>
              <w:rPr>
                <w:color w:val="auto"/>
                <w:kern w:val="0"/>
                <w:szCs w:val="21"/>
                <w:highlight w:val="none"/>
              </w:rPr>
              <w:t>生态环境现状</w:t>
            </w:r>
          </w:p>
        </w:tc>
        <w:tc>
          <w:tcPr>
            <w:tcW w:w="4407" w:type="pct"/>
            <w:vAlign w:val="center"/>
          </w:tcPr>
          <w:p w14:paraId="30457DC4">
            <w:pPr>
              <w:pStyle w:val="56"/>
              <w:ind w:firstLine="420"/>
              <w:rPr>
                <w:color w:val="auto"/>
                <w:highlight w:val="none"/>
              </w:rPr>
            </w:pPr>
            <w:r>
              <w:rPr>
                <w:rFonts w:hint="eastAsia"/>
                <w:color w:val="auto"/>
                <w:highlight w:val="none"/>
              </w:rPr>
              <w:t>一、生态环境质量现状</w:t>
            </w:r>
          </w:p>
          <w:p w14:paraId="74F6862A">
            <w:pPr>
              <w:pStyle w:val="56"/>
              <w:ind w:firstLine="420"/>
              <w:rPr>
                <w:color w:val="auto"/>
                <w:highlight w:val="none"/>
              </w:rPr>
            </w:pPr>
            <w:r>
              <w:rPr>
                <w:rFonts w:hint="eastAsia"/>
                <w:color w:val="auto"/>
                <w:highlight w:val="none"/>
              </w:rPr>
              <w:t>1、主体功能区划</w:t>
            </w:r>
          </w:p>
          <w:p w14:paraId="56B5DA3C">
            <w:pPr>
              <w:spacing w:line="360" w:lineRule="auto"/>
              <w:ind w:firstLine="420" w:firstLineChars="200"/>
              <w:rPr>
                <w:rFonts w:hint="eastAsia" w:cs="宋体"/>
                <w:color w:val="000000"/>
                <w:kern w:val="0"/>
                <w:szCs w:val="21"/>
                <w:highlight w:val="none"/>
              </w:rPr>
            </w:pPr>
            <w:r>
              <w:rPr>
                <w:rFonts w:hint="eastAsia" w:cs="宋体"/>
                <w:color w:val="000000"/>
                <w:kern w:val="0"/>
                <w:szCs w:val="21"/>
                <w:highlight w:val="none"/>
              </w:rPr>
              <w:t>根据《黑龙江省主体功能区规划》（黑政发</w:t>
            </w:r>
            <w:r>
              <w:rPr>
                <w:rFonts w:hint="eastAsia"/>
                <w:color w:val="000000"/>
                <w:kern w:val="0"/>
                <w:szCs w:val="21"/>
                <w:highlight w:val="none"/>
              </w:rPr>
              <w:t>﹝2</w:t>
            </w:r>
            <w:r>
              <w:rPr>
                <w:color w:val="000000"/>
                <w:kern w:val="0"/>
                <w:szCs w:val="21"/>
                <w:highlight w:val="none"/>
              </w:rPr>
              <w:t>012</w:t>
            </w:r>
            <w:r>
              <w:rPr>
                <w:rFonts w:hint="eastAsia"/>
                <w:color w:val="000000"/>
                <w:kern w:val="0"/>
                <w:szCs w:val="21"/>
                <w:highlight w:val="none"/>
              </w:rPr>
              <w:t>﹞</w:t>
            </w:r>
            <w:r>
              <w:rPr>
                <w:rFonts w:hint="eastAsia" w:cs="宋体"/>
                <w:color w:val="000000"/>
                <w:kern w:val="0"/>
                <w:szCs w:val="21"/>
                <w:highlight w:val="none"/>
              </w:rPr>
              <w:t>29号），黑龙江省双鸭山市</w:t>
            </w:r>
            <w:r>
              <w:rPr>
                <w:rFonts w:hint="eastAsia"/>
                <w:color w:val="000000"/>
                <w:highlight w:val="none"/>
              </w:rPr>
              <w:t>饶河县属于国家级限制开发区域（重点生态功能区）。其中，黑龙江饶河东北黑蜂国家级自然保护区列为国家级禁止开发区；大佳河自然保护区、南山省级森林公园、喀尔喀山风景名胜区、乌苏里江风景名胜区、大顶子山风景名胜区、饶河喀尔喀玄武岩石林地质公园列为省级禁止开发区。</w:t>
            </w:r>
          </w:p>
          <w:p w14:paraId="3D853258">
            <w:pPr>
              <w:spacing w:line="360" w:lineRule="auto"/>
              <w:ind w:firstLine="420" w:firstLineChars="200"/>
              <w:rPr>
                <w:rFonts w:hint="eastAsia"/>
                <w:color w:val="000000"/>
                <w:highlight w:val="none"/>
              </w:rPr>
            </w:pPr>
            <w:r>
              <w:rPr>
                <w:rFonts w:hint="eastAsia"/>
                <w:color w:val="000000"/>
                <w:highlight w:val="none"/>
              </w:rPr>
              <w:t>功能定位：以提供生态产品为主，保障生态安全的重要区域，人与自然和谐相处的示范区。</w:t>
            </w:r>
          </w:p>
          <w:p w14:paraId="5746B874">
            <w:pPr>
              <w:spacing w:line="360" w:lineRule="auto"/>
              <w:ind w:firstLine="420" w:firstLineChars="200"/>
              <w:rPr>
                <w:rFonts w:hint="eastAsia"/>
                <w:color w:val="000000"/>
                <w:highlight w:val="none"/>
              </w:rPr>
            </w:pPr>
            <w:r>
              <w:rPr>
                <w:rFonts w:hint="eastAsia"/>
                <w:color w:val="000000"/>
                <w:highlight w:val="none"/>
              </w:rPr>
              <w:t>发展方向：禁止对野生动植物进行滥捕滥采，保持和恢复野生动植物物种和种群的平衡，实现野生动植物资源的良性循环和永续利用；加强防御外来物种入侵的能力，防止外来有害物种对生态系统的侵害；保护自然生态系统与重要物种栖息地，防止生态建设导致栖息环境的改变；扩大保护范围，降低城市建设强度，改善水域及湿地环境。</w:t>
            </w:r>
          </w:p>
          <w:p w14:paraId="3DDDA38F">
            <w:pPr>
              <w:pStyle w:val="56"/>
              <w:ind w:firstLine="420"/>
              <w:rPr>
                <w:rFonts w:hint="eastAsia"/>
                <w:color w:val="auto"/>
                <w:highlight w:val="none"/>
              </w:rPr>
            </w:pPr>
            <w:r>
              <w:rPr>
                <w:rFonts w:hint="eastAsia"/>
                <w:color w:val="auto"/>
                <w:highlight w:val="none"/>
              </w:rPr>
              <w:t>本次环评提出，在工程施工过程中，必须采用正确的预防措施，降低工程对生态系统和生物多样性的破坏。优化施工现场布置，工程施工应尽量减少施工占地及施工活动造成的植被损失，减少对野生动物栖息地的破坏</w:t>
            </w:r>
            <w:r>
              <w:rPr>
                <w:rFonts w:hint="eastAsia"/>
                <w:color w:val="auto"/>
                <w:highlight w:val="none"/>
                <w:lang w:eastAsia="zh-CN"/>
              </w:rPr>
              <w:t>。</w:t>
            </w:r>
            <w:r>
              <w:rPr>
                <w:rFonts w:hint="eastAsia"/>
                <w:color w:val="auto"/>
                <w:highlight w:val="none"/>
              </w:rPr>
              <w:t>堤防工程属于无污染项目，工程在运行期无污染物排放，不会对区域生物多样性维护产生不利影响，因此，本项目符合《黑龙江省主体功能区规划》。</w:t>
            </w:r>
          </w:p>
          <w:p w14:paraId="1FFF0756">
            <w:pPr>
              <w:pStyle w:val="56"/>
              <w:ind w:firstLine="420"/>
              <w:rPr>
                <w:color w:val="auto"/>
                <w:highlight w:val="none"/>
              </w:rPr>
            </w:pPr>
            <w:r>
              <w:rPr>
                <w:rFonts w:hint="eastAsia"/>
                <w:color w:val="auto"/>
                <w:highlight w:val="none"/>
              </w:rPr>
              <w:t>2、生态功能区划</w:t>
            </w:r>
          </w:p>
          <w:p w14:paraId="3BC6B71D">
            <w:pPr>
              <w:spacing w:line="360" w:lineRule="auto"/>
              <w:ind w:firstLine="420" w:firstLineChars="200"/>
              <w:rPr>
                <w:rFonts w:cs="宋体"/>
                <w:color w:val="000000"/>
                <w:kern w:val="0"/>
                <w:szCs w:val="21"/>
                <w:highlight w:val="none"/>
              </w:rPr>
            </w:pPr>
            <w:r>
              <w:rPr>
                <w:color w:val="000000"/>
                <w:highlight w:val="none"/>
              </w:rPr>
              <w:t>根据《黑龙江省生态功能区划》</w:t>
            </w:r>
            <w:r>
              <w:rPr>
                <w:rFonts w:hint="eastAsia" w:cs="宋体"/>
                <w:color w:val="000000"/>
                <w:kern w:val="0"/>
                <w:szCs w:val="21"/>
                <w:highlight w:val="none"/>
              </w:rPr>
              <w:t>（黑政函</w:t>
            </w:r>
            <w:r>
              <w:rPr>
                <w:rFonts w:hint="eastAsia"/>
                <w:color w:val="000000"/>
                <w:kern w:val="0"/>
                <w:szCs w:val="21"/>
                <w:highlight w:val="none"/>
              </w:rPr>
              <w:t>﹝2</w:t>
            </w:r>
            <w:r>
              <w:rPr>
                <w:color w:val="000000"/>
                <w:kern w:val="0"/>
                <w:szCs w:val="21"/>
                <w:highlight w:val="none"/>
              </w:rPr>
              <w:t>006</w:t>
            </w:r>
            <w:r>
              <w:rPr>
                <w:rFonts w:hint="eastAsia"/>
                <w:color w:val="000000"/>
                <w:kern w:val="0"/>
                <w:szCs w:val="21"/>
                <w:highlight w:val="none"/>
              </w:rPr>
              <w:t>﹞</w:t>
            </w:r>
            <w:r>
              <w:rPr>
                <w:rFonts w:hint="eastAsia" w:cs="宋体"/>
                <w:color w:val="000000"/>
                <w:kern w:val="0"/>
                <w:szCs w:val="21"/>
                <w:highlight w:val="none"/>
              </w:rPr>
              <w:t>75号）</w:t>
            </w:r>
            <w:r>
              <w:rPr>
                <w:color w:val="000000"/>
                <w:highlight w:val="none"/>
              </w:rPr>
              <w:t>，黑龙江省共划分6个生态区（一级）、13个生态亚区（二级区）、45个生态功能区（三级区）。</w:t>
            </w:r>
          </w:p>
          <w:p w14:paraId="4899AAB9">
            <w:pPr>
              <w:spacing w:line="360" w:lineRule="auto"/>
              <w:ind w:firstLine="420" w:firstLineChars="200"/>
              <w:rPr>
                <w:color w:val="000000"/>
                <w:highlight w:val="none"/>
              </w:rPr>
            </w:pPr>
            <w:r>
              <w:rPr>
                <w:rFonts w:hint="eastAsia"/>
                <w:color w:val="000000"/>
                <w:highlight w:val="none"/>
              </w:rPr>
              <w:t>本项目位于双鸭山市饶河县，所在区域生态功能区划情况见下表。</w:t>
            </w:r>
            <w:bookmarkStart w:id="16" w:name="_Ref304496959"/>
          </w:p>
          <w:bookmarkEnd w:id="16"/>
          <w:p w14:paraId="20B79BC8">
            <w:pPr>
              <w:pStyle w:val="55"/>
              <w:rPr>
                <w:rFonts w:hint="eastAsia"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cs="Times New Roman"/>
                <w:color w:val="auto"/>
                <w:highlight w:val="none"/>
              </w:rPr>
              <w:t>3-1</w:t>
            </w:r>
            <w:r>
              <w:rPr>
                <w:rFonts w:hint="eastAsia"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rPr>
              <w:t>黑龙江省生态功能区划简表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27"/>
              <w:gridCol w:w="830"/>
              <w:gridCol w:w="1141"/>
              <w:gridCol w:w="602"/>
              <w:gridCol w:w="1237"/>
              <w:gridCol w:w="1103"/>
              <w:gridCol w:w="877"/>
              <w:gridCol w:w="1071"/>
            </w:tblGrid>
            <w:tr w14:paraId="39340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44" w:type="pct"/>
                  <w:gridSpan w:val="3"/>
                  <w:noWrap w:val="0"/>
                  <w:vAlign w:val="center"/>
                </w:tcPr>
                <w:p w14:paraId="781D2221">
                  <w:pPr>
                    <w:adjustRightInd w:val="0"/>
                    <w:snapToGrid w:val="0"/>
                    <w:jc w:val="center"/>
                    <w:rPr>
                      <w:color w:val="000000"/>
                      <w:kern w:val="21"/>
                      <w:sz w:val="18"/>
                      <w:szCs w:val="18"/>
                      <w:highlight w:val="none"/>
                    </w:rPr>
                  </w:pPr>
                  <w:r>
                    <w:rPr>
                      <w:color w:val="000000"/>
                      <w:kern w:val="21"/>
                      <w:sz w:val="18"/>
                      <w:szCs w:val="18"/>
                      <w:highlight w:val="none"/>
                    </w:rPr>
                    <w:t>生态功能分区单元</w:t>
                  </w:r>
                </w:p>
              </w:tc>
              <w:tc>
                <w:tcPr>
                  <w:tcW w:w="413" w:type="pct"/>
                  <w:vMerge w:val="restart"/>
                  <w:noWrap w:val="0"/>
                  <w:vAlign w:val="center"/>
                </w:tcPr>
                <w:p w14:paraId="1C1378B6">
                  <w:pPr>
                    <w:adjustRightInd w:val="0"/>
                    <w:snapToGrid w:val="0"/>
                    <w:jc w:val="center"/>
                    <w:rPr>
                      <w:color w:val="000000"/>
                      <w:kern w:val="21"/>
                      <w:sz w:val="18"/>
                      <w:szCs w:val="18"/>
                      <w:highlight w:val="none"/>
                    </w:rPr>
                  </w:pPr>
                  <w:r>
                    <w:rPr>
                      <w:color w:val="000000"/>
                      <w:kern w:val="21"/>
                      <w:sz w:val="18"/>
                      <w:szCs w:val="18"/>
                      <w:highlight w:val="none"/>
                    </w:rPr>
                    <w:t>所在区域面积</w:t>
                  </w:r>
                </w:p>
              </w:tc>
              <w:tc>
                <w:tcPr>
                  <w:tcW w:w="848" w:type="pct"/>
                  <w:vMerge w:val="restart"/>
                  <w:noWrap w:val="0"/>
                  <w:vAlign w:val="center"/>
                </w:tcPr>
                <w:p w14:paraId="54781AAE">
                  <w:pPr>
                    <w:adjustRightInd w:val="0"/>
                    <w:snapToGrid w:val="0"/>
                    <w:jc w:val="center"/>
                    <w:rPr>
                      <w:color w:val="000000"/>
                      <w:kern w:val="21"/>
                      <w:sz w:val="18"/>
                      <w:szCs w:val="18"/>
                      <w:highlight w:val="none"/>
                    </w:rPr>
                  </w:pPr>
                  <w:r>
                    <w:rPr>
                      <w:color w:val="000000"/>
                      <w:kern w:val="21"/>
                      <w:sz w:val="18"/>
                      <w:szCs w:val="18"/>
                      <w:highlight w:val="none"/>
                    </w:rPr>
                    <w:t>主要生态</w:t>
                  </w:r>
                </w:p>
                <w:p w14:paraId="52ACD24D">
                  <w:pPr>
                    <w:adjustRightInd w:val="0"/>
                    <w:snapToGrid w:val="0"/>
                    <w:jc w:val="center"/>
                    <w:rPr>
                      <w:color w:val="000000"/>
                      <w:kern w:val="21"/>
                      <w:sz w:val="18"/>
                      <w:szCs w:val="18"/>
                      <w:highlight w:val="none"/>
                    </w:rPr>
                  </w:pPr>
                  <w:r>
                    <w:rPr>
                      <w:color w:val="000000"/>
                      <w:kern w:val="21"/>
                      <w:sz w:val="18"/>
                      <w:szCs w:val="18"/>
                      <w:highlight w:val="none"/>
                    </w:rPr>
                    <w:t>环境问题</w:t>
                  </w:r>
                </w:p>
              </w:tc>
              <w:tc>
                <w:tcPr>
                  <w:tcW w:w="756" w:type="pct"/>
                  <w:vMerge w:val="restart"/>
                  <w:noWrap w:val="0"/>
                  <w:vAlign w:val="center"/>
                </w:tcPr>
                <w:p w14:paraId="4669F832">
                  <w:pPr>
                    <w:adjustRightInd w:val="0"/>
                    <w:snapToGrid w:val="0"/>
                    <w:jc w:val="center"/>
                    <w:rPr>
                      <w:color w:val="000000"/>
                      <w:kern w:val="21"/>
                      <w:sz w:val="18"/>
                      <w:szCs w:val="18"/>
                      <w:highlight w:val="none"/>
                    </w:rPr>
                  </w:pPr>
                  <w:r>
                    <w:rPr>
                      <w:color w:val="000000"/>
                      <w:kern w:val="21"/>
                      <w:sz w:val="18"/>
                      <w:szCs w:val="18"/>
                      <w:highlight w:val="none"/>
                    </w:rPr>
                    <w:t>生态环境</w:t>
                  </w:r>
                </w:p>
                <w:p w14:paraId="65318855">
                  <w:pPr>
                    <w:adjustRightInd w:val="0"/>
                    <w:snapToGrid w:val="0"/>
                    <w:jc w:val="center"/>
                    <w:rPr>
                      <w:color w:val="000000"/>
                      <w:kern w:val="21"/>
                      <w:sz w:val="18"/>
                      <w:szCs w:val="18"/>
                      <w:highlight w:val="none"/>
                    </w:rPr>
                  </w:pPr>
                  <w:r>
                    <w:rPr>
                      <w:color w:val="000000"/>
                      <w:kern w:val="21"/>
                      <w:sz w:val="18"/>
                      <w:szCs w:val="18"/>
                      <w:highlight w:val="none"/>
                    </w:rPr>
                    <w:t>敏感性</w:t>
                  </w:r>
                </w:p>
              </w:tc>
              <w:tc>
                <w:tcPr>
                  <w:tcW w:w="601" w:type="pct"/>
                  <w:vMerge w:val="restart"/>
                  <w:noWrap w:val="0"/>
                  <w:vAlign w:val="center"/>
                </w:tcPr>
                <w:p w14:paraId="079340D2">
                  <w:pPr>
                    <w:adjustRightInd w:val="0"/>
                    <w:snapToGrid w:val="0"/>
                    <w:jc w:val="center"/>
                    <w:rPr>
                      <w:color w:val="000000"/>
                      <w:kern w:val="21"/>
                      <w:sz w:val="18"/>
                      <w:szCs w:val="18"/>
                      <w:highlight w:val="none"/>
                    </w:rPr>
                  </w:pPr>
                  <w:r>
                    <w:rPr>
                      <w:color w:val="000000"/>
                      <w:kern w:val="21"/>
                      <w:sz w:val="18"/>
                      <w:szCs w:val="18"/>
                      <w:highlight w:val="none"/>
                    </w:rPr>
                    <w:t>主要生态系统服务功能</w:t>
                  </w:r>
                </w:p>
              </w:tc>
              <w:tc>
                <w:tcPr>
                  <w:tcW w:w="734" w:type="pct"/>
                  <w:vMerge w:val="restart"/>
                  <w:noWrap w:val="0"/>
                  <w:vAlign w:val="center"/>
                </w:tcPr>
                <w:p w14:paraId="206648D7">
                  <w:pPr>
                    <w:adjustRightInd w:val="0"/>
                    <w:snapToGrid w:val="0"/>
                    <w:jc w:val="center"/>
                    <w:rPr>
                      <w:color w:val="000000"/>
                      <w:kern w:val="21"/>
                      <w:sz w:val="18"/>
                      <w:szCs w:val="18"/>
                      <w:highlight w:val="none"/>
                    </w:rPr>
                  </w:pPr>
                  <w:r>
                    <w:rPr>
                      <w:color w:val="000000"/>
                      <w:kern w:val="21"/>
                      <w:sz w:val="18"/>
                      <w:szCs w:val="18"/>
                      <w:highlight w:val="none"/>
                    </w:rPr>
                    <w:t>保护措施</w:t>
                  </w:r>
                </w:p>
                <w:p w14:paraId="32A08D90">
                  <w:pPr>
                    <w:adjustRightInd w:val="0"/>
                    <w:snapToGrid w:val="0"/>
                    <w:jc w:val="center"/>
                    <w:rPr>
                      <w:color w:val="000000"/>
                      <w:kern w:val="21"/>
                      <w:sz w:val="18"/>
                      <w:szCs w:val="18"/>
                      <w:highlight w:val="none"/>
                    </w:rPr>
                  </w:pPr>
                  <w:r>
                    <w:rPr>
                      <w:color w:val="000000"/>
                      <w:kern w:val="21"/>
                      <w:sz w:val="18"/>
                      <w:szCs w:val="18"/>
                      <w:highlight w:val="none"/>
                    </w:rPr>
                    <w:t>与发展方向</w:t>
                  </w:r>
                </w:p>
              </w:tc>
            </w:tr>
            <w:tr w14:paraId="0F358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3" w:type="pct"/>
                  <w:noWrap w:val="0"/>
                  <w:vAlign w:val="center"/>
                </w:tcPr>
                <w:p w14:paraId="645A1355">
                  <w:pPr>
                    <w:adjustRightInd w:val="0"/>
                    <w:snapToGrid w:val="0"/>
                    <w:jc w:val="center"/>
                    <w:rPr>
                      <w:color w:val="000000"/>
                      <w:kern w:val="21"/>
                      <w:sz w:val="18"/>
                      <w:szCs w:val="18"/>
                      <w:highlight w:val="none"/>
                    </w:rPr>
                  </w:pPr>
                  <w:r>
                    <w:rPr>
                      <w:color w:val="000000"/>
                      <w:kern w:val="21"/>
                      <w:sz w:val="18"/>
                      <w:szCs w:val="18"/>
                      <w:highlight w:val="none"/>
                    </w:rPr>
                    <w:t>生态区</w:t>
                  </w:r>
                </w:p>
              </w:tc>
              <w:tc>
                <w:tcPr>
                  <w:tcW w:w="569" w:type="pct"/>
                  <w:noWrap w:val="0"/>
                  <w:vAlign w:val="center"/>
                </w:tcPr>
                <w:p w14:paraId="64143CED">
                  <w:pPr>
                    <w:adjustRightInd w:val="0"/>
                    <w:snapToGrid w:val="0"/>
                    <w:jc w:val="center"/>
                    <w:rPr>
                      <w:color w:val="000000"/>
                      <w:kern w:val="21"/>
                      <w:sz w:val="18"/>
                      <w:szCs w:val="18"/>
                      <w:highlight w:val="none"/>
                    </w:rPr>
                  </w:pPr>
                  <w:r>
                    <w:rPr>
                      <w:color w:val="000000"/>
                      <w:kern w:val="21"/>
                      <w:sz w:val="18"/>
                      <w:szCs w:val="18"/>
                      <w:highlight w:val="none"/>
                    </w:rPr>
                    <w:t>生态亚区</w:t>
                  </w:r>
                </w:p>
              </w:tc>
              <w:tc>
                <w:tcPr>
                  <w:tcW w:w="780" w:type="pct"/>
                  <w:noWrap w:val="0"/>
                  <w:vAlign w:val="center"/>
                </w:tcPr>
                <w:p w14:paraId="181A3F18">
                  <w:pPr>
                    <w:adjustRightInd w:val="0"/>
                    <w:snapToGrid w:val="0"/>
                    <w:jc w:val="center"/>
                    <w:rPr>
                      <w:color w:val="000000"/>
                      <w:kern w:val="21"/>
                      <w:sz w:val="18"/>
                      <w:szCs w:val="18"/>
                      <w:highlight w:val="none"/>
                    </w:rPr>
                  </w:pPr>
                  <w:r>
                    <w:rPr>
                      <w:color w:val="000000"/>
                      <w:kern w:val="21"/>
                      <w:sz w:val="18"/>
                      <w:szCs w:val="18"/>
                      <w:highlight w:val="none"/>
                    </w:rPr>
                    <w:t>生态功能区</w:t>
                  </w:r>
                </w:p>
              </w:tc>
              <w:tc>
                <w:tcPr>
                  <w:tcW w:w="413" w:type="pct"/>
                  <w:vMerge w:val="continue"/>
                  <w:noWrap w:val="0"/>
                  <w:vAlign w:val="center"/>
                </w:tcPr>
                <w:p w14:paraId="4B6B18A8">
                  <w:pPr>
                    <w:adjustRightInd w:val="0"/>
                    <w:snapToGrid w:val="0"/>
                    <w:jc w:val="center"/>
                    <w:rPr>
                      <w:color w:val="000000"/>
                      <w:kern w:val="21"/>
                      <w:sz w:val="18"/>
                      <w:szCs w:val="18"/>
                      <w:highlight w:val="none"/>
                    </w:rPr>
                  </w:pPr>
                </w:p>
              </w:tc>
              <w:tc>
                <w:tcPr>
                  <w:tcW w:w="848" w:type="pct"/>
                  <w:vMerge w:val="continue"/>
                  <w:noWrap w:val="0"/>
                  <w:vAlign w:val="center"/>
                </w:tcPr>
                <w:p w14:paraId="27E0BC9F">
                  <w:pPr>
                    <w:adjustRightInd w:val="0"/>
                    <w:snapToGrid w:val="0"/>
                    <w:jc w:val="center"/>
                    <w:rPr>
                      <w:color w:val="000000"/>
                      <w:kern w:val="21"/>
                      <w:sz w:val="18"/>
                      <w:szCs w:val="18"/>
                      <w:highlight w:val="none"/>
                    </w:rPr>
                  </w:pPr>
                </w:p>
              </w:tc>
              <w:tc>
                <w:tcPr>
                  <w:tcW w:w="756" w:type="pct"/>
                  <w:vMerge w:val="continue"/>
                  <w:noWrap w:val="0"/>
                  <w:vAlign w:val="center"/>
                </w:tcPr>
                <w:p w14:paraId="3D84CCFA">
                  <w:pPr>
                    <w:adjustRightInd w:val="0"/>
                    <w:snapToGrid w:val="0"/>
                    <w:jc w:val="center"/>
                    <w:rPr>
                      <w:color w:val="000000"/>
                      <w:kern w:val="21"/>
                      <w:sz w:val="18"/>
                      <w:szCs w:val="18"/>
                      <w:highlight w:val="none"/>
                    </w:rPr>
                  </w:pPr>
                </w:p>
              </w:tc>
              <w:tc>
                <w:tcPr>
                  <w:tcW w:w="601" w:type="pct"/>
                  <w:vMerge w:val="continue"/>
                  <w:noWrap w:val="0"/>
                  <w:vAlign w:val="center"/>
                </w:tcPr>
                <w:p w14:paraId="44513775">
                  <w:pPr>
                    <w:adjustRightInd w:val="0"/>
                    <w:snapToGrid w:val="0"/>
                    <w:jc w:val="center"/>
                    <w:rPr>
                      <w:color w:val="000000"/>
                      <w:kern w:val="21"/>
                      <w:sz w:val="18"/>
                      <w:szCs w:val="18"/>
                      <w:highlight w:val="none"/>
                    </w:rPr>
                  </w:pPr>
                </w:p>
              </w:tc>
              <w:tc>
                <w:tcPr>
                  <w:tcW w:w="734" w:type="pct"/>
                  <w:vMerge w:val="continue"/>
                  <w:noWrap w:val="0"/>
                  <w:vAlign w:val="center"/>
                </w:tcPr>
                <w:p w14:paraId="463DFC9F">
                  <w:pPr>
                    <w:adjustRightInd w:val="0"/>
                    <w:snapToGrid w:val="0"/>
                    <w:jc w:val="center"/>
                    <w:rPr>
                      <w:color w:val="000000"/>
                      <w:kern w:val="21"/>
                      <w:sz w:val="18"/>
                      <w:szCs w:val="18"/>
                      <w:highlight w:val="none"/>
                    </w:rPr>
                  </w:pPr>
                </w:p>
              </w:tc>
            </w:tr>
            <w:tr w14:paraId="2C284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3" w:type="pct"/>
                  <w:noWrap w:val="0"/>
                  <w:vAlign w:val="center"/>
                </w:tcPr>
                <w:p w14:paraId="256067D7">
                  <w:pPr>
                    <w:adjustRightInd w:val="0"/>
                    <w:snapToGrid w:val="0"/>
                    <w:jc w:val="center"/>
                    <w:rPr>
                      <w:color w:val="000000"/>
                      <w:kern w:val="21"/>
                      <w:sz w:val="18"/>
                      <w:szCs w:val="18"/>
                      <w:highlight w:val="none"/>
                    </w:rPr>
                  </w:pPr>
                  <w:r>
                    <w:rPr>
                      <w:rFonts w:hint="eastAsia" w:cs="宋体"/>
                      <w:color w:val="000000"/>
                      <w:kern w:val="0"/>
                      <w:sz w:val="18"/>
                      <w:szCs w:val="18"/>
                      <w:highlight w:val="none"/>
                    </w:rPr>
                    <w:t>I-3三江平原农业与湿地生态区</w:t>
                  </w:r>
                </w:p>
              </w:tc>
              <w:tc>
                <w:tcPr>
                  <w:tcW w:w="569" w:type="pct"/>
                  <w:noWrap w:val="0"/>
                  <w:vAlign w:val="center"/>
                </w:tcPr>
                <w:p w14:paraId="6DE78F99">
                  <w:pPr>
                    <w:adjustRightInd w:val="0"/>
                    <w:snapToGrid w:val="0"/>
                    <w:jc w:val="center"/>
                    <w:rPr>
                      <w:color w:val="000000"/>
                      <w:kern w:val="21"/>
                      <w:sz w:val="18"/>
                      <w:szCs w:val="18"/>
                      <w:highlight w:val="none"/>
                    </w:rPr>
                  </w:pPr>
                  <w:r>
                    <w:rPr>
                      <w:rFonts w:hint="eastAsia" w:cs="宋体"/>
                      <w:color w:val="000000"/>
                      <w:kern w:val="0"/>
                      <w:sz w:val="18"/>
                      <w:szCs w:val="18"/>
                      <w:highlight w:val="none"/>
                    </w:rPr>
                    <w:t>I-3-2完达山山地针阔混交林与湿地生态亚区</w:t>
                  </w:r>
                </w:p>
              </w:tc>
              <w:tc>
                <w:tcPr>
                  <w:tcW w:w="780" w:type="pct"/>
                  <w:noWrap w:val="0"/>
                  <w:vAlign w:val="center"/>
                </w:tcPr>
                <w:p w14:paraId="2F6E9477">
                  <w:pPr>
                    <w:widowControl/>
                    <w:jc w:val="center"/>
                    <w:rPr>
                      <w:color w:val="000000"/>
                      <w:kern w:val="21"/>
                      <w:sz w:val="18"/>
                      <w:szCs w:val="18"/>
                      <w:highlight w:val="none"/>
                    </w:rPr>
                  </w:pPr>
                  <w:r>
                    <w:rPr>
                      <w:rFonts w:hint="eastAsia" w:cs="宋体"/>
                      <w:color w:val="000000"/>
                      <w:kern w:val="0"/>
                      <w:sz w:val="18"/>
                      <w:szCs w:val="18"/>
                      <w:highlight w:val="none"/>
                    </w:rPr>
                    <w:t>I-3-2-1挠力河下游林、农业与湿地及界江国土保护生态功能区</w:t>
                  </w:r>
                </w:p>
              </w:tc>
              <w:tc>
                <w:tcPr>
                  <w:tcW w:w="413" w:type="pct"/>
                  <w:noWrap w:val="0"/>
                  <w:vAlign w:val="center"/>
                </w:tcPr>
                <w:p w14:paraId="780C5604">
                  <w:pPr>
                    <w:widowControl/>
                    <w:jc w:val="center"/>
                    <w:rPr>
                      <w:color w:val="000000"/>
                      <w:kern w:val="21"/>
                      <w:sz w:val="18"/>
                      <w:szCs w:val="18"/>
                      <w:highlight w:val="none"/>
                    </w:rPr>
                  </w:pPr>
                  <w:r>
                    <w:rPr>
                      <w:color w:val="000000"/>
                      <w:kern w:val="0"/>
                      <w:sz w:val="18"/>
                      <w:szCs w:val="18"/>
                      <w:highlight w:val="none"/>
                    </w:rPr>
                    <w:t>饶河县，面积6765平方公里</w:t>
                  </w:r>
                </w:p>
              </w:tc>
              <w:tc>
                <w:tcPr>
                  <w:tcW w:w="848" w:type="pct"/>
                  <w:noWrap w:val="0"/>
                  <w:vAlign w:val="center"/>
                </w:tcPr>
                <w:p w14:paraId="63FEC0F3">
                  <w:pPr>
                    <w:widowControl/>
                    <w:jc w:val="center"/>
                    <w:rPr>
                      <w:color w:val="000000"/>
                      <w:kern w:val="21"/>
                      <w:sz w:val="18"/>
                      <w:szCs w:val="18"/>
                      <w:highlight w:val="none"/>
                    </w:rPr>
                  </w:pPr>
                  <w:r>
                    <w:rPr>
                      <w:color w:val="000000"/>
                      <w:kern w:val="0"/>
                      <w:sz w:val="18"/>
                      <w:szCs w:val="18"/>
                      <w:highlight w:val="none"/>
                    </w:rPr>
                    <w:t>雨季易发生洪涝灾害；生态系统较为脆弱；农田防护林少，缓坡地局部土壤有水蚀现象</w:t>
                  </w:r>
                </w:p>
              </w:tc>
              <w:tc>
                <w:tcPr>
                  <w:tcW w:w="756" w:type="pct"/>
                  <w:noWrap w:val="0"/>
                  <w:vAlign w:val="center"/>
                </w:tcPr>
                <w:p w14:paraId="22E9141A">
                  <w:pPr>
                    <w:widowControl/>
                    <w:jc w:val="center"/>
                    <w:rPr>
                      <w:color w:val="000000"/>
                      <w:kern w:val="21"/>
                      <w:sz w:val="18"/>
                      <w:szCs w:val="18"/>
                      <w:highlight w:val="none"/>
                    </w:rPr>
                  </w:pPr>
                  <w:r>
                    <w:rPr>
                      <w:rFonts w:hint="eastAsia" w:cs="宋体"/>
                      <w:color w:val="000000"/>
                      <w:kern w:val="0"/>
                      <w:sz w:val="18"/>
                      <w:szCs w:val="18"/>
                      <w:highlight w:val="none"/>
                    </w:rPr>
                    <w:t>森林质量下降，湿地未得到有效保护，界江国土流失较重，农业旱、涝灾害频繁。生态系统较为脆弱；农田防护林少，土壤透水性差，缓坡地局部土壤有水蚀现象。</w:t>
                  </w:r>
                </w:p>
              </w:tc>
              <w:tc>
                <w:tcPr>
                  <w:tcW w:w="601" w:type="pct"/>
                  <w:noWrap w:val="0"/>
                  <w:vAlign w:val="center"/>
                </w:tcPr>
                <w:p w14:paraId="47DA9F4A">
                  <w:pPr>
                    <w:widowControl/>
                    <w:jc w:val="center"/>
                    <w:rPr>
                      <w:color w:val="000000"/>
                      <w:kern w:val="21"/>
                      <w:sz w:val="18"/>
                      <w:szCs w:val="18"/>
                      <w:highlight w:val="none"/>
                    </w:rPr>
                  </w:pPr>
                  <w:r>
                    <w:rPr>
                      <w:color w:val="000000"/>
                      <w:kern w:val="0"/>
                      <w:sz w:val="18"/>
                      <w:szCs w:val="18"/>
                      <w:highlight w:val="none"/>
                    </w:rPr>
                    <w:t>生物多样性保护、自然人文景观保护和乌苏里江流域土壤保持极重要地区</w:t>
                  </w:r>
                </w:p>
              </w:tc>
              <w:tc>
                <w:tcPr>
                  <w:tcW w:w="734" w:type="pct"/>
                  <w:noWrap w:val="0"/>
                  <w:vAlign w:val="center"/>
                </w:tcPr>
                <w:p w14:paraId="0CE07111">
                  <w:pPr>
                    <w:widowControl/>
                    <w:jc w:val="center"/>
                    <w:rPr>
                      <w:color w:val="000000"/>
                      <w:kern w:val="21"/>
                      <w:sz w:val="18"/>
                      <w:szCs w:val="18"/>
                      <w:highlight w:val="none"/>
                    </w:rPr>
                  </w:pPr>
                  <w:r>
                    <w:rPr>
                      <w:rFonts w:hint="eastAsia" w:cs="宋体"/>
                      <w:color w:val="000000"/>
                      <w:kern w:val="0"/>
                      <w:sz w:val="18"/>
                      <w:szCs w:val="18"/>
                      <w:highlight w:val="none"/>
                    </w:rPr>
                    <w:t>加大森林保护力度，以建立保护区等形式对湿地进行有效的保护；在界江沿岸植树造林，防止界江堤岸出现滑坡、坍塌，减少国土流失，进行生态农业建设，创建绿色食品基地。</w:t>
                  </w:r>
                </w:p>
              </w:tc>
            </w:tr>
          </w:tbl>
          <w:p w14:paraId="20AAE5F7">
            <w:pPr>
              <w:pStyle w:val="56"/>
              <w:ind w:firstLine="420"/>
              <w:rPr>
                <w:rFonts w:hint="eastAsia"/>
                <w:color w:val="auto"/>
                <w:highlight w:val="none"/>
              </w:rPr>
            </w:pPr>
            <w:r>
              <w:rPr>
                <w:rFonts w:hint="eastAsia"/>
                <w:color w:val="auto"/>
                <w:highlight w:val="none"/>
              </w:rPr>
              <w:t>本项目可以很好地发挥防洪效益，减少水土流失，减少耕地损失，可以更好地保障两岸人民的生命和财产安全。工程施工过程中，必须采用正确的预防措施，降低工程对生态系统和生物多样性的破坏。工程通过优化施工现场布置，减少施工占地及施工活动造成的植被损失，减少对野生动物栖息地的破坏。堤防工程属于无污染项目，工程在运行期无污染物排放，不会对区域生物多样性维护产生不利影响和水源涵养等功能定位产生不利影响，因此本工程建设与《黑龙江省生态功能区划》符合。</w:t>
            </w:r>
          </w:p>
          <w:p w14:paraId="6294E531">
            <w:pPr>
              <w:pStyle w:val="56"/>
              <w:ind w:firstLine="420"/>
              <w:rPr>
                <w:color w:val="auto"/>
                <w:highlight w:val="none"/>
              </w:rPr>
            </w:pPr>
            <w:r>
              <w:rPr>
                <w:rFonts w:hint="eastAsia"/>
                <w:color w:val="auto"/>
                <w:highlight w:val="none"/>
              </w:rPr>
              <w:t>3、生态环境现状</w:t>
            </w:r>
          </w:p>
          <w:p w14:paraId="281A939B">
            <w:pPr>
              <w:pStyle w:val="56"/>
              <w:ind w:firstLine="420"/>
              <w:rPr>
                <w:color w:val="auto"/>
                <w:highlight w:val="none"/>
              </w:rPr>
            </w:pPr>
            <w:r>
              <w:rPr>
                <w:rFonts w:hint="eastAsia"/>
                <w:color w:val="auto"/>
                <w:highlight w:val="none"/>
              </w:rPr>
              <w:t>（</w:t>
            </w:r>
            <w:r>
              <w:rPr>
                <w:color w:val="auto"/>
                <w:highlight w:val="none"/>
              </w:rPr>
              <w:t>1</w:t>
            </w:r>
            <w:r>
              <w:rPr>
                <w:rFonts w:hint="eastAsia"/>
                <w:color w:val="auto"/>
                <w:highlight w:val="none"/>
              </w:rPr>
              <w:t>）</w:t>
            </w:r>
            <w:r>
              <w:rPr>
                <w:color w:val="auto"/>
                <w:highlight w:val="none"/>
              </w:rPr>
              <w:t>工程永久征地</w:t>
            </w:r>
          </w:p>
          <w:p w14:paraId="0C276EEF">
            <w:pPr>
              <w:pStyle w:val="56"/>
              <w:ind w:firstLine="420"/>
              <w:rPr>
                <w:rFonts w:hint="eastAsia"/>
                <w:color w:val="auto"/>
                <w:highlight w:val="none"/>
                <w:lang w:eastAsia="zh-CN"/>
              </w:rPr>
            </w:pPr>
            <w:r>
              <w:rPr>
                <w:rFonts w:hint="eastAsia"/>
                <w:color w:val="auto"/>
                <w:highlight w:val="none"/>
              </w:rPr>
              <w:t>本项目</w:t>
            </w:r>
            <w:r>
              <w:rPr>
                <w:rFonts w:hint="eastAsia"/>
                <w:color w:val="auto"/>
                <w:highlight w:val="none"/>
                <w:lang w:eastAsia="zh-CN"/>
              </w:rPr>
              <w:t>主要为主体工程堤防建设，本次堤防均在现有堤防迎水侧进行护砌，故无新征占地，全部利用原有水域及水利设施用地。</w:t>
            </w:r>
          </w:p>
          <w:p w14:paraId="19877E1E">
            <w:pPr>
              <w:pStyle w:val="56"/>
              <w:ind w:firstLine="420"/>
              <w:rPr>
                <w:color w:val="auto"/>
                <w:highlight w:val="none"/>
              </w:rPr>
            </w:pPr>
            <w:r>
              <w:rPr>
                <w:rFonts w:hint="eastAsia"/>
                <w:color w:val="auto"/>
                <w:highlight w:val="none"/>
              </w:rPr>
              <w:t>（</w:t>
            </w:r>
            <w:r>
              <w:rPr>
                <w:color w:val="auto"/>
                <w:highlight w:val="none"/>
              </w:rPr>
              <w:t>2</w:t>
            </w:r>
            <w:r>
              <w:rPr>
                <w:rFonts w:hint="eastAsia"/>
                <w:color w:val="auto"/>
                <w:highlight w:val="none"/>
              </w:rPr>
              <w:t>）</w:t>
            </w:r>
            <w:r>
              <w:rPr>
                <w:color w:val="auto"/>
                <w:highlight w:val="none"/>
              </w:rPr>
              <w:t>工程临时用地</w:t>
            </w:r>
          </w:p>
          <w:p w14:paraId="546366EA">
            <w:pPr>
              <w:pStyle w:val="56"/>
              <w:ind w:firstLine="420"/>
              <w:rPr>
                <w:rFonts w:hint="eastAsia"/>
                <w:color w:val="FF0000"/>
                <w:highlight w:val="none"/>
                <w:lang w:eastAsia="zh-CN"/>
              </w:rPr>
            </w:pPr>
            <w:r>
              <w:rPr>
                <w:rFonts w:hint="eastAsia"/>
                <w:color w:val="auto"/>
                <w:highlight w:val="none"/>
              </w:rPr>
              <w:t>工程</w:t>
            </w:r>
            <w:r>
              <w:rPr>
                <w:rFonts w:hint="eastAsia"/>
                <w:color w:val="auto"/>
                <w:highlight w:val="none"/>
                <w:lang w:val="en-US" w:eastAsia="zh-CN"/>
              </w:rPr>
              <w:t>无</w:t>
            </w:r>
            <w:r>
              <w:rPr>
                <w:rFonts w:hint="eastAsia"/>
                <w:color w:val="auto"/>
                <w:highlight w:val="none"/>
              </w:rPr>
              <w:t>新增新建临时道路，不新增其他临时占地</w:t>
            </w:r>
            <w:r>
              <w:rPr>
                <w:rFonts w:hint="eastAsia"/>
                <w:color w:val="auto"/>
                <w:highlight w:val="none"/>
                <w:lang w:eastAsia="zh-CN"/>
              </w:rPr>
              <w:t>。</w:t>
            </w:r>
          </w:p>
          <w:p w14:paraId="2E6CCEDE">
            <w:pPr>
              <w:pStyle w:val="56"/>
              <w:ind w:firstLine="420"/>
              <w:rPr>
                <w:rFonts w:hint="default" w:eastAsia="宋体"/>
                <w:color w:val="auto"/>
                <w:highlight w:val="none"/>
                <w:lang w:val="en-US" w:eastAsia="zh-CN"/>
              </w:rPr>
            </w:pPr>
            <w:r>
              <w:rPr>
                <w:rFonts w:hint="eastAsia"/>
                <w:color w:val="auto"/>
                <w:highlight w:val="none"/>
              </w:rPr>
              <w:t>（3）</w:t>
            </w:r>
            <w:r>
              <w:rPr>
                <w:rFonts w:hint="eastAsia"/>
                <w:color w:val="auto"/>
                <w:highlight w:val="none"/>
                <w:lang w:val="en-US" w:eastAsia="zh-CN"/>
              </w:rPr>
              <w:t>陆生生态</w:t>
            </w:r>
          </w:p>
          <w:p w14:paraId="78F18D31">
            <w:pPr>
              <w:pStyle w:val="56"/>
              <w:ind w:firstLine="420"/>
              <w:rPr>
                <w:rFonts w:hint="eastAsia"/>
                <w:color w:val="auto"/>
                <w:highlight w:val="none"/>
              </w:rPr>
            </w:pPr>
            <w:r>
              <w:rPr>
                <w:rFonts w:hint="eastAsia"/>
                <w:color w:val="auto"/>
                <w:highlight w:val="none"/>
              </w:rPr>
              <w:t>陆生植物：本次工程沿线土地利用类型主要为耕地、林地、坑塘水面等，沿线植被类型为农田植被、次生林地、草甸植被和沼泽植被等。农田植被主要有水稻、玉米、大豆、白菜等；森林植被主要有落叶松、樟子松等次生林，主要为农田防护林和村屯绿化林，均为一般林地，不涉及生态公益林；草甸植被主要分布在沿岸滩地，有狗尾巴草、猪尾巴草、星星草等；沼泽植被主要为草本沼泽，多为芦苇、苔草等植物组成，草群茂密，结构清晰。</w:t>
            </w:r>
          </w:p>
          <w:p w14:paraId="5E173322">
            <w:pPr>
              <w:pStyle w:val="56"/>
              <w:ind w:firstLine="420"/>
              <w:rPr>
                <w:rFonts w:hint="eastAsia"/>
                <w:color w:val="auto"/>
                <w:szCs w:val="21"/>
                <w:highlight w:val="none"/>
              </w:rPr>
            </w:pPr>
            <w:r>
              <w:rPr>
                <w:rFonts w:hint="eastAsia"/>
                <w:color w:val="auto"/>
                <w:szCs w:val="21"/>
                <w:highlight w:val="none"/>
              </w:rPr>
              <w:t>陆生动物：本项目位于三江平原农业与湿地生态区，区内以农田生态为主，人类活动频繁受人类活动干扰，大型野生动物已难寻觅，主要野生动物为一些较常见的小型啮齿类动物、两爬类动物及鸟类，主要包括家松鼠、野兔、蛇、麻雀、老鼠、青蛙等，未发现重点保护动物。评价区所在区域以农田、蒙古栎林、次生林生境为主，动物活动隐蔽性差，大部分保护动物基本见不到，可能偶见一些雁鸭类、赤狐、黄鼬等。但动物活动范围大，流动性强。</w:t>
            </w:r>
          </w:p>
          <w:p w14:paraId="5B27D28E">
            <w:pPr>
              <w:pStyle w:val="56"/>
              <w:ind w:firstLine="420"/>
              <w:rPr>
                <w:color w:val="auto"/>
                <w:highlight w:val="none"/>
              </w:rPr>
            </w:pPr>
            <w:r>
              <w:rPr>
                <w:rFonts w:hint="eastAsia"/>
                <w:color w:val="auto"/>
                <w:highlight w:val="none"/>
              </w:rPr>
              <w:t>（4）水生生物现状</w:t>
            </w:r>
          </w:p>
          <w:p w14:paraId="5794B3F1">
            <w:pPr>
              <w:pStyle w:val="56"/>
              <w:ind w:firstLine="420"/>
              <w:rPr>
                <w:rFonts w:hint="eastAsia"/>
                <w:color w:val="auto"/>
                <w:highlight w:val="none"/>
              </w:rPr>
            </w:pPr>
            <w:r>
              <w:rPr>
                <w:rFonts w:hint="eastAsia"/>
                <w:color w:val="auto"/>
                <w:highlight w:val="none"/>
              </w:rPr>
              <w:t>大带河位于黑龙江省东部地区饶河县境内，属乌苏里江一级支流。主要鱼类有</w:t>
            </w:r>
            <w:r>
              <w:rPr>
                <w:rFonts w:hint="eastAsia"/>
                <w:color w:val="auto"/>
                <w:highlight w:val="none"/>
                <w:lang w:val="en-US" w:eastAsia="zh-CN"/>
              </w:rPr>
              <w:t>鲢鱼、草鱼、细鳞鲑、哲罗鲑等各种鱼类</w:t>
            </w:r>
            <w:r>
              <w:rPr>
                <w:rFonts w:hint="eastAsia"/>
                <w:color w:val="auto"/>
                <w:highlight w:val="none"/>
              </w:rPr>
              <w:t>，</w:t>
            </w:r>
            <w:r>
              <w:rPr>
                <w:rFonts w:hint="eastAsia"/>
                <w:color w:val="auto"/>
                <w:highlight w:val="none"/>
                <w:lang w:val="en-US" w:eastAsia="zh-CN"/>
              </w:rPr>
              <w:t>经调查</w:t>
            </w:r>
            <w:r>
              <w:rPr>
                <w:rFonts w:hint="eastAsia"/>
                <w:color w:val="auto"/>
                <w:highlight w:val="none"/>
              </w:rPr>
              <w:t>本工程区段内没有国家珍稀保护鱼类和三场分布。</w:t>
            </w:r>
          </w:p>
          <w:p w14:paraId="3FC12920">
            <w:pPr>
              <w:pStyle w:val="56"/>
              <w:ind w:firstLine="420"/>
              <w:rPr>
                <w:color w:val="auto"/>
                <w:highlight w:val="none"/>
              </w:rPr>
            </w:pPr>
            <w:r>
              <w:rPr>
                <w:rFonts w:hint="eastAsia"/>
                <w:color w:val="auto"/>
                <w:highlight w:val="none"/>
              </w:rPr>
              <w:t>（</w:t>
            </w:r>
            <w:r>
              <w:rPr>
                <w:rFonts w:hint="eastAsia"/>
                <w:color w:val="auto"/>
                <w:highlight w:val="none"/>
                <w:lang w:val="en-US" w:eastAsia="zh-CN"/>
              </w:rPr>
              <w:t>5</w:t>
            </w:r>
            <w:r>
              <w:rPr>
                <w:rFonts w:hint="eastAsia"/>
                <w:color w:val="auto"/>
                <w:highlight w:val="none"/>
              </w:rPr>
              <w:t>）水文形势</w:t>
            </w:r>
          </w:p>
          <w:p w14:paraId="3CDA617D">
            <w:pPr>
              <w:pStyle w:val="56"/>
              <w:ind w:firstLine="420"/>
              <w:rPr>
                <w:rFonts w:hint="eastAsia"/>
                <w:color w:val="auto"/>
                <w:highlight w:val="none"/>
              </w:rPr>
            </w:pPr>
            <w:r>
              <w:rPr>
                <w:rFonts w:hint="eastAsia"/>
                <w:color w:val="auto"/>
                <w:highlight w:val="none"/>
              </w:rPr>
              <w:t>大带河流域位于黑龙江省东部地区饶河县境内，属乌苏里江一级支流。发源于饶河县境内完达山余脉四邦山西麓，起点地理坐标东经133°37′，北纬46°41′，终点地理坐标东经134°00′，北纬46°50′，流经永乐乡，向东至饶河镇北2km处汇入乌苏里江。大带河全长50.0km，流域面积519km</w:t>
            </w:r>
            <w:r>
              <w:rPr>
                <w:rFonts w:hint="eastAsia"/>
                <w:color w:val="auto"/>
                <w:highlight w:val="none"/>
                <w:vertAlign w:val="superscript"/>
              </w:rPr>
              <w:t>2</w:t>
            </w:r>
            <w:r>
              <w:rPr>
                <w:rFonts w:hint="eastAsia"/>
                <w:color w:val="auto"/>
                <w:highlight w:val="none"/>
              </w:rPr>
              <w:t>，有支流18条，其中最大的支流为关门河。</w:t>
            </w:r>
          </w:p>
          <w:p w14:paraId="15415816">
            <w:pPr>
              <w:pStyle w:val="56"/>
              <w:ind w:firstLine="420"/>
              <w:rPr>
                <w:color w:val="auto"/>
                <w:highlight w:val="none"/>
              </w:rPr>
            </w:pPr>
            <w:r>
              <w:rPr>
                <w:rFonts w:hint="eastAsia"/>
                <w:color w:val="auto"/>
                <w:highlight w:val="none"/>
              </w:rPr>
              <w:t>大带河上游为森林茂密的山区，植被良好，经三义村后进入乌苏里江的冲积平原。整体地势西高东低，主要经过饶河农场24连，大岱村、岭南村、三义村</w:t>
            </w:r>
            <w:r>
              <w:rPr>
                <w:rFonts w:hint="eastAsia"/>
                <w:color w:val="auto"/>
                <w:highlight w:val="none"/>
                <w:lang w:eastAsia="zh-CN"/>
              </w:rPr>
              <w:t>，</w:t>
            </w:r>
            <w:r>
              <w:rPr>
                <w:rFonts w:hint="eastAsia"/>
                <w:color w:val="auto"/>
                <w:highlight w:val="none"/>
              </w:rPr>
              <w:t>坡降在山区内较陡在8‰左右，平原区较缓河道比降不到1‰。</w:t>
            </w:r>
          </w:p>
          <w:p w14:paraId="322F12CD">
            <w:pPr>
              <w:pStyle w:val="56"/>
              <w:ind w:firstLine="420"/>
              <w:rPr>
                <w:color w:val="auto"/>
                <w:highlight w:val="none"/>
              </w:rPr>
            </w:pPr>
            <w:r>
              <w:rPr>
                <w:rFonts w:hint="eastAsia"/>
                <w:color w:val="auto"/>
                <w:highlight w:val="none"/>
              </w:rPr>
              <w:t>二、环境空气质量现状</w:t>
            </w:r>
          </w:p>
          <w:p w14:paraId="0A02A4EB">
            <w:pPr>
              <w:pStyle w:val="9"/>
              <w:keepNext w:val="0"/>
              <w:keepLines w:val="0"/>
              <w:pageBreakBefore w:val="0"/>
              <w:widowControl w:val="0"/>
              <w:numPr>
                <w:ilvl w:val="0"/>
                <w:numId w:val="0"/>
              </w:numPr>
              <w:kinsoku/>
              <w:wordWrap/>
              <w:overflowPunct/>
              <w:topLinePunct w:val="0"/>
              <w:autoSpaceDE/>
              <w:autoSpaceDN/>
              <w:bidi w:val="0"/>
              <w:adjustRightInd/>
              <w:snapToGrid/>
              <w:spacing w:before="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2024年双鸭山市环境空气质量状况》，2024年，双鸭山市区监测天数为366天，达标天数为352天。本年空气质量一级优236天，二级良116天，三级轻度污染10天，四至六级中度、重度、严重污染4天，优良率96.17%。双鸭山市环境空气中PM</w:t>
            </w:r>
            <w:r>
              <w:rPr>
                <w:rFonts w:hint="default" w:ascii="Times New Roman" w:hAnsi="Times New Roman" w:eastAsia="宋体" w:cs="Times New Roman"/>
                <w:color w:val="auto"/>
                <w:sz w:val="21"/>
                <w:szCs w:val="21"/>
                <w:highlight w:val="none"/>
                <w:vertAlign w:val="subscript"/>
                <w:lang w:val="en-US" w:eastAsia="zh-CN"/>
              </w:rPr>
              <w:t>10</w:t>
            </w:r>
            <w:r>
              <w:rPr>
                <w:rFonts w:hint="default" w:ascii="Times New Roman" w:hAnsi="Times New Roman" w:eastAsia="宋体" w:cs="Times New Roman"/>
                <w:color w:val="auto"/>
                <w:sz w:val="21"/>
                <w:szCs w:val="21"/>
                <w:highlight w:val="none"/>
                <w:lang w:val="en-US" w:eastAsia="zh-CN"/>
              </w:rPr>
              <w:t>年均浓度为43</w:t>
            </w:r>
            <w:r>
              <w:rPr>
                <w:rFonts w:hint="eastAsia"/>
                <w:color w:val="auto"/>
                <w:sz w:val="21"/>
                <w:szCs w:val="21"/>
                <w:highlight w:val="none"/>
              </w:rPr>
              <w:t>μg/m</w:t>
            </w:r>
            <w:r>
              <w:rPr>
                <w:rFonts w:hint="eastAsia"/>
                <w:color w:val="auto"/>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，S0</w:t>
            </w:r>
            <w:r>
              <w:rPr>
                <w:rFonts w:hint="eastAsia"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年均浓度为11</w:t>
            </w:r>
            <w:r>
              <w:rPr>
                <w:rFonts w:hint="eastAsia"/>
                <w:color w:val="auto"/>
                <w:sz w:val="21"/>
                <w:szCs w:val="21"/>
                <w:highlight w:val="none"/>
              </w:rPr>
              <w:t>μg/m</w:t>
            </w:r>
            <w:r>
              <w:rPr>
                <w:rFonts w:hint="eastAsia"/>
                <w:color w:val="auto"/>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，NO</w:t>
            </w:r>
            <w:r>
              <w:rPr>
                <w:rFonts w:hint="eastAsia"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年均浓度为15</w:t>
            </w:r>
            <w:r>
              <w:rPr>
                <w:rFonts w:hint="eastAsia"/>
                <w:color w:val="auto"/>
                <w:sz w:val="21"/>
                <w:szCs w:val="21"/>
                <w:highlight w:val="none"/>
              </w:rPr>
              <w:t>μg/m</w:t>
            </w:r>
            <w:r>
              <w:rPr>
                <w:rFonts w:hint="eastAsia"/>
                <w:color w:val="auto"/>
                <w:sz w:val="21"/>
                <w:szCs w:val="21"/>
                <w:highlight w:val="none"/>
                <w:vertAlign w:val="superscript"/>
              </w:rPr>
              <w:t>3</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PM</w:t>
            </w:r>
            <w:r>
              <w:rPr>
                <w:rFonts w:hint="eastAsia" w:cs="Times New Roman"/>
                <w:color w:val="auto"/>
                <w:sz w:val="21"/>
                <w:szCs w:val="21"/>
                <w:highlight w:val="none"/>
                <w:vertAlign w:val="subscript"/>
                <w:lang w:val="en-US" w:eastAsia="zh-CN"/>
              </w:rPr>
              <w:t>2.5</w:t>
            </w:r>
            <w:r>
              <w:rPr>
                <w:rFonts w:hint="default" w:ascii="Times New Roman" w:hAnsi="Times New Roman" w:eastAsia="宋体" w:cs="Times New Roman"/>
                <w:color w:val="auto"/>
                <w:sz w:val="21"/>
                <w:szCs w:val="21"/>
                <w:highlight w:val="none"/>
                <w:lang w:val="en-US" w:eastAsia="zh-CN"/>
              </w:rPr>
              <w:t>年均浓度为27</w:t>
            </w:r>
            <w:r>
              <w:rPr>
                <w:rFonts w:hint="eastAsia"/>
                <w:color w:val="auto"/>
                <w:sz w:val="21"/>
                <w:szCs w:val="21"/>
                <w:highlight w:val="none"/>
              </w:rPr>
              <w:t>μg/m</w:t>
            </w:r>
            <w:r>
              <w:rPr>
                <w:rFonts w:hint="eastAsia"/>
                <w:color w:val="auto"/>
                <w:sz w:val="21"/>
                <w:szCs w:val="21"/>
                <w:highlight w:val="none"/>
                <w:vertAlign w:val="superscript"/>
              </w:rPr>
              <w:t>3</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一氧化碳24小时平均第95百分位数浓度为0.9mg</w:t>
            </w:r>
            <w:r>
              <w:rPr>
                <w:rFonts w:hint="eastAsia"/>
                <w:color w:val="auto"/>
                <w:sz w:val="21"/>
                <w:szCs w:val="21"/>
                <w:highlight w:val="none"/>
              </w:rPr>
              <w:t>/m</w:t>
            </w:r>
            <w:r>
              <w:rPr>
                <w:rFonts w:hint="eastAsia"/>
                <w:color w:val="auto"/>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日最大8小时平均第90百分位数浓度为105</w:t>
            </w:r>
            <w:r>
              <w:rPr>
                <w:rFonts w:hint="eastAsia"/>
                <w:color w:val="auto"/>
                <w:sz w:val="21"/>
                <w:szCs w:val="21"/>
                <w:highlight w:val="none"/>
              </w:rPr>
              <w:t>μg/m</w:t>
            </w:r>
            <w:r>
              <w:rPr>
                <w:rFonts w:hint="eastAsia"/>
                <w:color w:val="auto"/>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区域空气质量现状达标情况见表3-</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p w14:paraId="61D56A65">
            <w:pPr>
              <w:pStyle w:val="9"/>
              <w:keepNext w:val="0"/>
              <w:keepLines w:val="0"/>
              <w:pageBreakBefore w:val="0"/>
              <w:widowControl/>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黑体" w:cs="Times New Roman"/>
                <w:color w:val="auto"/>
                <w:kern w:val="0"/>
                <w:sz w:val="21"/>
                <w:szCs w:val="20"/>
                <w:highlight w:val="none"/>
                <w:lang w:val="en-US" w:eastAsia="zh-CN" w:bidi="ar-SA"/>
              </w:rPr>
            </w:pPr>
            <w:r>
              <w:rPr>
                <w:rFonts w:hint="default" w:ascii="Times New Roman" w:hAnsi="Times New Roman" w:eastAsia="黑体" w:cs="Times New Roman"/>
                <w:color w:val="auto"/>
                <w:kern w:val="0"/>
                <w:sz w:val="21"/>
                <w:szCs w:val="20"/>
                <w:highlight w:val="none"/>
                <w:lang w:val="en-US" w:eastAsia="zh-CN" w:bidi="ar-SA"/>
              </w:rPr>
              <w:t>表3-</w:t>
            </w:r>
            <w:r>
              <w:rPr>
                <w:rFonts w:hint="eastAsia" w:ascii="Times New Roman" w:hAnsi="Times New Roman" w:eastAsia="黑体" w:cs="Times New Roman"/>
                <w:color w:val="auto"/>
                <w:kern w:val="0"/>
                <w:sz w:val="21"/>
                <w:szCs w:val="20"/>
                <w:highlight w:val="none"/>
                <w:lang w:val="en-US" w:eastAsia="zh-CN" w:bidi="ar-SA"/>
              </w:rPr>
              <w:t xml:space="preserve">2  </w:t>
            </w:r>
            <w:r>
              <w:rPr>
                <w:rFonts w:hint="default" w:ascii="Times New Roman" w:hAnsi="Times New Roman" w:eastAsia="黑体" w:cs="Times New Roman"/>
                <w:color w:val="auto"/>
                <w:kern w:val="0"/>
                <w:sz w:val="21"/>
                <w:szCs w:val="20"/>
                <w:highlight w:val="none"/>
                <w:lang w:val="en-US" w:eastAsia="zh-CN" w:bidi="ar-SA"/>
              </w:rPr>
              <w:t>区域空气质量现状评价表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1889"/>
              <w:gridCol w:w="1070"/>
              <w:gridCol w:w="1343"/>
              <w:gridCol w:w="1130"/>
              <w:gridCol w:w="1062"/>
            </w:tblGrid>
            <w:tr w14:paraId="2CF45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548" w:type="pct"/>
                  <w:tcBorders>
                    <w:tl2br w:val="nil"/>
                    <w:tr2bl w:val="nil"/>
                  </w:tcBorders>
                  <w:noWrap w:val="0"/>
                  <w:vAlign w:val="center"/>
                </w:tcPr>
                <w:p w14:paraId="36B95448">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污染物</w:t>
                  </w:r>
                </w:p>
              </w:tc>
              <w:tc>
                <w:tcPr>
                  <w:tcW w:w="1294" w:type="pct"/>
                  <w:tcBorders>
                    <w:tl2br w:val="nil"/>
                    <w:tr2bl w:val="nil"/>
                  </w:tcBorders>
                  <w:noWrap w:val="0"/>
                  <w:vAlign w:val="center"/>
                </w:tcPr>
                <w:p w14:paraId="63F3B7B9">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年评价指标</w:t>
                  </w:r>
                </w:p>
              </w:tc>
              <w:tc>
                <w:tcPr>
                  <w:tcW w:w="733" w:type="pct"/>
                  <w:tcBorders>
                    <w:tl2br w:val="nil"/>
                    <w:tr2bl w:val="nil"/>
                  </w:tcBorders>
                  <w:noWrap w:val="0"/>
                  <w:vAlign w:val="center"/>
                </w:tcPr>
                <w:p w14:paraId="21707778">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现状浓度/μg/m</w:t>
                  </w:r>
                  <w:r>
                    <w:rPr>
                      <w:rFonts w:hint="default" w:ascii="Times New Roman" w:hAnsi="Times New Roman" w:eastAsia="宋体" w:cs="Times New Roman"/>
                      <w:bCs/>
                      <w:color w:val="auto"/>
                      <w:sz w:val="21"/>
                      <w:szCs w:val="21"/>
                      <w:highlight w:val="none"/>
                      <w:vertAlign w:val="superscript"/>
                      <w:lang w:val="en-US" w:eastAsia="zh-CN"/>
                    </w:rPr>
                    <w:t>3</w:t>
                  </w:r>
                </w:p>
              </w:tc>
              <w:tc>
                <w:tcPr>
                  <w:tcW w:w="920" w:type="pct"/>
                  <w:tcBorders>
                    <w:tl2br w:val="nil"/>
                    <w:tr2bl w:val="nil"/>
                  </w:tcBorders>
                  <w:noWrap w:val="0"/>
                  <w:vAlign w:val="center"/>
                </w:tcPr>
                <w:p w14:paraId="1727B25F">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标准值/μg/m</w:t>
                  </w:r>
                  <w:r>
                    <w:rPr>
                      <w:rFonts w:hint="default" w:ascii="Times New Roman" w:hAnsi="Times New Roman" w:eastAsia="宋体" w:cs="Times New Roman"/>
                      <w:bCs/>
                      <w:color w:val="auto"/>
                      <w:sz w:val="21"/>
                      <w:szCs w:val="21"/>
                      <w:highlight w:val="none"/>
                      <w:vertAlign w:val="superscript"/>
                      <w:lang w:val="en-US" w:eastAsia="zh-CN"/>
                    </w:rPr>
                    <w:t>3</w:t>
                  </w:r>
                </w:p>
              </w:tc>
              <w:tc>
                <w:tcPr>
                  <w:tcW w:w="774" w:type="pct"/>
                  <w:tcBorders>
                    <w:tl2br w:val="nil"/>
                    <w:tr2bl w:val="nil"/>
                  </w:tcBorders>
                  <w:noWrap w:val="0"/>
                  <w:vAlign w:val="center"/>
                </w:tcPr>
                <w:p w14:paraId="1A37096C">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占标率/%</w:t>
                  </w:r>
                </w:p>
              </w:tc>
              <w:tc>
                <w:tcPr>
                  <w:tcW w:w="727" w:type="pct"/>
                  <w:tcBorders>
                    <w:tl2br w:val="nil"/>
                    <w:tr2bl w:val="nil"/>
                  </w:tcBorders>
                  <w:noWrap w:val="0"/>
                  <w:vAlign w:val="center"/>
                </w:tcPr>
                <w:p w14:paraId="37129314">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p w14:paraId="6522C993">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情况</w:t>
                  </w:r>
                </w:p>
              </w:tc>
            </w:tr>
            <w:tr w14:paraId="7D9C0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548" w:type="pct"/>
                  <w:tcBorders>
                    <w:tl2br w:val="nil"/>
                    <w:tr2bl w:val="nil"/>
                  </w:tcBorders>
                  <w:noWrap w:val="0"/>
                  <w:vAlign w:val="center"/>
                </w:tcPr>
                <w:p w14:paraId="33FE3500">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PM</w:t>
                  </w:r>
                  <w:r>
                    <w:rPr>
                      <w:rFonts w:hint="default" w:ascii="Times New Roman" w:hAnsi="Times New Roman" w:eastAsia="宋体" w:cs="Times New Roman"/>
                      <w:bCs/>
                      <w:color w:val="auto"/>
                      <w:sz w:val="21"/>
                      <w:szCs w:val="21"/>
                      <w:highlight w:val="none"/>
                      <w:vertAlign w:val="subscript"/>
                      <w:lang w:val="en-US" w:eastAsia="zh-CN"/>
                    </w:rPr>
                    <w:t>2.5</w:t>
                  </w:r>
                </w:p>
              </w:tc>
              <w:tc>
                <w:tcPr>
                  <w:tcW w:w="1294" w:type="pct"/>
                  <w:tcBorders>
                    <w:tl2br w:val="nil"/>
                    <w:tr2bl w:val="nil"/>
                  </w:tcBorders>
                  <w:noWrap w:val="0"/>
                  <w:vAlign w:val="center"/>
                </w:tcPr>
                <w:p w14:paraId="2BD00F9B">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年平均质量浓度</w:t>
                  </w:r>
                </w:p>
              </w:tc>
              <w:tc>
                <w:tcPr>
                  <w:tcW w:w="733" w:type="pct"/>
                  <w:tcBorders>
                    <w:tl2br w:val="nil"/>
                    <w:tr2bl w:val="nil"/>
                  </w:tcBorders>
                  <w:noWrap w:val="0"/>
                  <w:vAlign w:val="center"/>
                </w:tcPr>
                <w:p w14:paraId="52A72097">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27</w:t>
                  </w:r>
                </w:p>
              </w:tc>
              <w:tc>
                <w:tcPr>
                  <w:tcW w:w="920" w:type="pct"/>
                  <w:tcBorders>
                    <w:tl2br w:val="nil"/>
                    <w:tr2bl w:val="nil"/>
                  </w:tcBorders>
                  <w:noWrap w:val="0"/>
                  <w:vAlign w:val="center"/>
                </w:tcPr>
                <w:p w14:paraId="28823D63">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35</w:t>
                  </w:r>
                </w:p>
              </w:tc>
              <w:tc>
                <w:tcPr>
                  <w:tcW w:w="774" w:type="pct"/>
                  <w:tcBorders>
                    <w:tl2br w:val="nil"/>
                    <w:tr2bl w:val="nil"/>
                  </w:tcBorders>
                  <w:noWrap w:val="0"/>
                  <w:vAlign w:val="center"/>
                </w:tcPr>
                <w:p w14:paraId="2C34A854">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77.14</w:t>
                  </w:r>
                </w:p>
              </w:tc>
              <w:tc>
                <w:tcPr>
                  <w:tcW w:w="727" w:type="pct"/>
                  <w:tcBorders>
                    <w:tl2br w:val="nil"/>
                    <w:tr2bl w:val="nil"/>
                  </w:tcBorders>
                  <w:noWrap w:val="0"/>
                  <w:vAlign w:val="center"/>
                </w:tcPr>
                <w:p w14:paraId="2CC9651C">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664EF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48" w:type="pct"/>
                  <w:tcBorders>
                    <w:tl2br w:val="nil"/>
                    <w:tr2bl w:val="nil"/>
                  </w:tcBorders>
                  <w:noWrap w:val="0"/>
                  <w:vAlign w:val="center"/>
                </w:tcPr>
                <w:p w14:paraId="32B462FE">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PM</w:t>
                  </w:r>
                  <w:r>
                    <w:rPr>
                      <w:rFonts w:hint="default" w:ascii="Times New Roman" w:hAnsi="Times New Roman" w:eastAsia="宋体" w:cs="Times New Roman"/>
                      <w:bCs/>
                      <w:color w:val="auto"/>
                      <w:sz w:val="21"/>
                      <w:szCs w:val="21"/>
                      <w:highlight w:val="none"/>
                      <w:vertAlign w:val="subscript"/>
                      <w:lang w:val="en-US" w:eastAsia="zh-CN"/>
                    </w:rPr>
                    <w:t>10</w:t>
                  </w:r>
                </w:p>
              </w:tc>
              <w:tc>
                <w:tcPr>
                  <w:tcW w:w="1294" w:type="pct"/>
                  <w:tcBorders>
                    <w:tl2br w:val="nil"/>
                    <w:tr2bl w:val="nil"/>
                  </w:tcBorders>
                  <w:noWrap w:val="0"/>
                  <w:vAlign w:val="center"/>
                </w:tcPr>
                <w:p w14:paraId="5ED0D7D1">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年平均质量浓度</w:t>
                  </w:r>
                </w:p>
              </w:tc>
              <w:tc>
                <w:tcPr>
                  <w:tcW w:w="733" w:type="pct"/>
                  <w:tcBorders>
                    <w:tl2br w:val="nil"/>
                    <w:tr2bl w:val="nil"/>
                  </w:tcBorders>
                  <w:noWrap w:val="0"/>
                  <w:vAlign w:val="center"/>
                </w:tcPr>
                <w:p w14:paraId="6749D2B8">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43</w:t>
                  </w:r>
                </w:p>
              </w:tc>
              <w:tc>
                <w:tcPr>
                  <w:tcW w:w="920" w:type="pct"/>
                  <w:tcBorders>
                    <w:tl2br w:val="nil"/>
                    <w:tr2bl w:val="nil"/>
                  </w:tcBorders>
                  <w:noWrap w:val="0"/>
                  <w:vAlign w:val="center"/>
                </w:tcPr>
                <w:p w14:paraId="3D11DB0C">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70</w:t>
                  </w:r>
                </w:p>
              </w:tc>
              <w:tc>
                <w:tcPr>
                  <w:tcW w:w="774" w:type="pct"/>
                  <w:tcBorders>
                    <w:tl2br w:val="nil"/>
                    <w:tr2bl w:val="nil"/>
                  </w:tcBorders>
                  <w:noWrap w:val="0"/>
                  <w:vAlign w:val="center"/>
                </w:tcPr>
                <w:p w14:paraId="3B7E93C3">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61.43</w:t>
                  </w:r>
                </w:p>
              </w:tc>
              <w:tc>
                <w:tcPr>
                  <w:tcW w:w="727" w:type="pct"/>
                  <w:tcBorders>
                    <w:tl2br w:val="nil"/>
                    <w:tr2bl w:val="nil"/>
                  </w:tcBorders>
                  <w:noWrap w:val="0"/>
                  <w:vAlign w:val="center"/>
                </w:tcPr>
                <w:p w14:paraId="795388BA">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3D991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48" w:type="pct"/>
                  <w:tcBorders>
                    <w:tl2br w:val="nil"/>
                    <w:tr2bl w:val="nil"/>
                  </w:tcBorders>
                  <w:noWrap w:val="0"/>
                  <w:vAlign w:val="center"/>
                </w:tcPr>
                <w:p w14:paraId="193A6CA3">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NO</w:t>
                  </w:r>
                  <w:r>
                    <w:rPr>
                      <w:rFonts w:hint="default" w:ascii="Times New Roman" w:hAnsi="Times New Roman" w:eastAsia="宋体" w:cs="Times New Roman"/>
                      <w:bCs/>
                      <w:color w:val="auto"/>
                      <w:sz w:val="21"/>
                      <w:szCs w:val="21"/>
                      <w:highlight w:val="none"/>
                      <w:vertAlign w:val="subscript"/>
                      <w:lang w:val="en-US" w:eastAsia="zh-CN"/>
                    </w:rPr>
                    <w:t>2</w:t>
                  </w:r>
                </w:p>
              </w:tc>
              <w:tc>
                <w:tcPr>
                  <w:tcW w:w="1294" w:type="pct"/>
                  <w:tcBorders>
                    <w:tl2br w:val="nil"/>
                    <w:tr2bl w:val="nil"/>
                  </w:tcBorders>
                  <w:noWrap w:val="0"/>
                  <w:vAlign w:val="center"/>
                </w:tcPr>
                <w:p w14:paraId="30A6167A">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年平均质量浓度</w:t>
                  </w:r>
                </w:p>
              </w:tc>
              <w:tc>
                <w:tcPr>
                  <w:tcW w:w="733" w:type="pct"/>
                  <w:tcBorders>
                    <w:tl2br w:val="nil"/>
                    <w:tr2bl w:val="nil"/>
                  </w:tcBorders>
                  <w:noWrap w:val="0"/>
                  <w:vAlign w:val="center"/>
                </w:tcPr>
                <w:p w14:paraId="1CD5C816">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15</w:t>
                  </w:r>
                </w:p>
              </w:tc>
              <w:tc>
                <w:tcPr>
                  <w:tcW w:w="920" w:type="pct"/>
                  <w:tcBorders>
                    <w:tl2br w:val="nil"/>
                    <w:tr2bl w:val="nil"/>
                  </w:tcBorders>
                  <w:noWrap w:val="0"/>
                  <w:vAlign w:val="center"/>
                </w:tcPr>
                <w:p w14:paraId="2F070541">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40</w:t>
                  </w:r>
                </w:p>
              </w:tc>
              <w:tc>
                <w:tcPr>
                  <w:tcW w:w="774" w:type="pct"/>
                  <w:tcBorders>
                    <w:tl2br w:val="nil"/>
                    <w:tr2bl w:val="nil"/>
                  </w:tcBorders>
                  <w:noWrap w:val="0"/>
                  <w:vAlign w:val="center"/>
                </w:tcPr>
                <w:p w14:paraId="2546652D">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37.50</w:t>
                  </w:r>
                </w:p>
              </w:tc>
              <w:tc>
                <w:tcPr>
                  <w:tcW w:w="727" w:type="pct"/>
                  <w:tcBorders>
                    <w:tl2br w:val="nil"/>
                    <w:tr2bl w:val="nil"/>
                  </w:tcBorders>
                  <w:noWrap w:val="0"/>
                  <w:vAlign w:val="center"/>
                </w:tcPr>
                <w:p w14:paraId="00A3B1AE">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7E8C2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48" w:type="pct"/>
                  <w:tcBorders>
                    <w:tl2br w:val="nil"/>
                    <w:tr2bl w:val="nil"/>
                  </w:tcBorders>
                  <w:noWrap w:val="0"/>
                  <w:vAlign w:val="center"/>
                </w:tcPr>
                <w:p w14:paraId="05A7B4B0">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SO</w:t>
                  </w:r>
                  <w:r>
                    <w:rPr>
                      <w:rFonts w:hint="default" w:ascii="Times New Roman" w:hAnsi="Times New Roman" w:eastAsia="宋体" w:cs="Times New Roman"/>
                      <w:bCs/>
                      <w:color w:val="auto"/>
                      <w:sz w:val="21"/>
                      <w:szCs w:val="21"/>
                      <w:highlight w:val="none"/>
                      <w:vertAlign w:val="subscript"/>
                      <w:lang w:val="en-US" w:eastAsia="zh-CN"/>
                    </w:rPr>
                    <w:t>2</w:t>
                  </w:r>
                </w:p>
              </w:tc>
              <w:tc>
                <w:tcPr>
                  <w:tcW w:w="1294" w:type="pct"/>
                  <w:tcBorders>
                    <w:tl2br w:val="nil"/>
                    <w:tr2bl w:val="nil"/>
                  </w:tcBorders>
                  <w:noWrap w:val="0"/>
                  <w:vAlign w:val="center"/>
                </w:tcPr>
                <w:p w14:paraId="50E8479B">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年平均质量浓度</w:t>
                  </w:r>
                </w:p>
              </w:tc>
              <w:tc>
                <w:tcPr>
                  <w:tcW w:w="733" w:type="pct"/>
                  <w:tcBorders>
                    <w:tl2br w:val="nil"/>
                    <w:tr2bl w:val="nil"/>
                  </w:tcBorders>
                  <w:noWrap w:val="0"/>
                  <w:vAlign w:val="center"/>
                </w:tcPr>
                <w:p w14:paraId="4B282D3B">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11</w:t>
                  </w:r>
                </w:p>
              </w:tc>
              <w:tc>
                <w:tcPr>
                  <w:tcW w:w="920" w:type="pct"/>
                  <w:tcBorders>
                    <w:tl2br w:val="nil"/>
                    <w:tr2bl w:val="nil"/>
                  </w:tcBorders>
                  <w:noWrap w:val="0"/>
                  <w:vAlign w:val="center"/>
                </w:tcPr>
                <w:p w14:paraId="6E2008C0">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60</w:t>
                  </w:r>
                </w:p>
              </w:tc>
              <w:tc>
                <w:tcPr>
                  <w:tcW w:w="774" w:type="pct"/>
                  <w:tcBorders>
                    <w:tl2br w:val="nil"/>
                    <w:tr2bl w:val="nil"/>
                  </w:tcBorders>
                  <w:noWrap w:val="0"/>
                  <w:vAlign w:val="center"/>
                </w:tcPr>
                <w:p w14:paraId="60E3D862">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18.33</w:t>
                  </w:r>
                </w:p>
              </w:tc>
              <w:tc>
                <w:tcPr>
                  <w:tcW w:w="727" w:type="pct"/>
                  <w:tcBorders>
                    <w:tl2br w:val="nil"/>
                    <w:tr2bl w:val="nil"/>
                  </w:tcBorders>
                  <w:noWrap w:val="0"/>
                  <w:vAlign w:val="center"/>
                </w:tcPr>
                <w:p w14:paraId="03D843BC">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5CEC5E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48" w:type="pct"/>
                  <w:tcBorders>
                    <w:tl2br w:val="nil"/>
                    <w:tr2bl w:val="nil"/>
                  </w:tcBorders>
                  <w:noWrap w:val="0"/>
                  <w:vAlign w:val="center"/>
                </w:tcPr>
                <w:p w14:paraId="4B3B7DEA">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CO</w:t>
                  </w:r>
                </w:p>
              </w:tc>
              <w:tc>
                <w:tcPr>
                  <w:tcW w:w="1294" w:type="pct"/>
                  <w:tcBorders>
                    <w:tl2br w:val="nil"/>
                    <w:tr2bl w:val="nil"/>
                  </w:tcBorders>
                  <w:noWrap w:val="0"/>
                  <w:vAlign w:val="center"/>
                </w:tcPr>
                <w:p w14:paraId="69760C85">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百分位数日平均</w:t>
                  </w:r>
                </w:p>
              </w:tc>
              <w:tc>
                <w:tcPr>
                  <w:tcW w:w="733" w:type="pct"/>
                  <w:tcBorders>
                    <w:tl2br w:val="nil"/>
                    <w:tr2bl w:val="nil"/>
                  </w:tcBorders>
                  <w:noWrap w:val="0"/>
                  <w:vAlign w:val="center"/>
                </w:tcPr>
                <w:p w14:paraId="6F5E9299">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900</w:t>
                  </w:r>
                </w:p>
              </w:tc>
              <w:tc>
                <w:tcPr>
                  <w:tcW w:w="920" w:type="pct"/>
                  <w:tcBorders>
                    <w:tl2br w:val="nil"/>
                    <w:tr2bl w:val="nil"/>
                  </w:tcBorders>
                  <w:noWrap w:val="0"/>
                  <w:vAlign w:val="center"/>
                </w:tcPr>
                <w:p w14:paraId="24AE70B3">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4000</w:t>
                  </w:r>
                </w:p>
              </w:tc>
              <w:tc>
                <w:tcPr>
                  <w:tcW w:w="774" w:type="pct"/>
                  <w:tcBorders>
                    <w:tl2br w:val="nil"/>
                    <w:tr2bl w:val="nil"/>
                  </w:tcBorders>
                  <w:noWrap w:val="0"/>
                  <w:vAlign w:val="center"/>
                </w:tcPr>
                <w:p w14:paraId="15C9F840">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22.50</w:t>
                  </w:r>
                </w:p>
              </w:tc>
              <w:tc>
                <w:tcPr>
                  <w:tcW w:w="727" w:type="pct"/>
                  <w:tcBorders>
                    <w:tl2br w:val="nil"/>
                    <w:tr2bl w:val="nil"/>
                  </w:tcBorders>
                  <w:noWrap w:val="0"/>
                  <w:vAlign w:val="center"/>
                </w:tcPr>
                <w:p w14:paraId="445F8511">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46DD0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548" w:type="pct"/>
                  <w:tcBorders>
                    <w:tl2br w:val="nil"/>
                    <w:tr2bl w:val="nil"/>
                  </w:tcBorders>
                  <w:noWrap w:val="0"/>
                  <w:vAlign w:val="center"/>
                </w:tcPr>
                <w:p w14:paraId="029F606A">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O</w:t>
                  </w:r>
                  <w:r>
                    <w:rPr>
                      <w:rFonts w:hint="default" w:ascii="Times New Roman" w:hAnsi="Times New Roman" w:eastAsia="宋体" w:cs="Times New Roman"/>
                      <w:bCs/>
                      <w:color w:val="auto"/>
                      <w:sz w:val="21"/>
                      <w:szCs w:val="21"/>
                      <w:highlight w:val="none"/>
                      <w:vertAlign w:val="subscript"/>
                      <w:lang w:val="en-US" w:eastAsia="zh-CN"/>
                    </w:rPr>
                    <w:t>3</w:t>
                  </w:r>
                </w:p>
              </w:tc>
              <w:tc>
                <w:tcPr>
                  <w:tcW w:w="1294" w:type="pct"/>
                  <w:tcBorders>
                    <w:tl2br w:val="nil"/>
                    <w:tr2bl w:val="nil"/>
                  </w:tcBorders>
                  <w:noWrap w:val="0"/>
                  <w:vAlign w:val="center"/>
                </w:tcPr>
                <w:p w14:paraId="50E657BA">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8h平均质量浓度</w:t>
                  </w:r>
                </w:p>
              </w:tc>
              <w:tc>
                <w:tcPr>
                  <w:tcW w:w="733" w:type="pct"/>
                  <w:tcBorders>
                    <w:tl2br w:val="nil"/>
                    <w:tr2bl w:val="nil"/>
                  </w:tcBorders>
                  <w:noWrap w:val="0"/>
                  <w:vAlign w:val="center"/>
                </w:tcPr>
                <w:p w14:paraId="2756DC18">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105</w:t>
                  </w:r>
                </w:p>
              </w:tc>
              <w:tc>
                <w:tcPr>
                  <w:tcW w:w="920" w:type="pct"/>
                  <w:tcBorders>
                    <w:tl2br w:val="nil"/>
                    <w:tr2bl w:val="nil"/>
                  </w:tcBorders>
                  <w:noWrap w:val="0"/>
                  <w:vAlign w:val="center"/>
                </w:tcPr>
                <w:p w14:paraId="7D889800">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160</w:t>
                  </w:r>
                </w:p>
              </w:tc>
              <w:tc>
                <w:tcPr>
                  <w:tcW w:w="774" w:type="pct"/>
                  <w:tcBorders>
                    <w:tl2br w:val="nil"/>
                    <w:tr2bl w:val="nil"/>
                  </w:tcBorders>
                  <w:noWrap w:val="0"/>
                  <w:vAlign w:val="center"/>
                </w:tcPr>
                <w:p w14:paraId="046D9226">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65.53</w:t>
                  </w:r>
                </w:p>
              </w:tc>
              <w:tc>
                <w:tcPr>
                  <w:tcW w:w="727" w:type="pct"/>
                  <w:tcBorders>
                    <w:tl2br w:val="nil"/>
                    <w:tr2bl w:val="nil"/>
                  </w:tcBorders>
                  <w:noWrap w:val="0"/>
                  <w:vAlign w:val="center"/>
                </w:tcPr>
                <w:p w14:paraId="4FD9EB70">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bl>
          <w:p w14:paraId="7430F43C">
            <w:pPr>
              <w:snapToGrid w:val="0"/>
              <w:spacing w:line="360" w:lineRule="auto"/>
              <w:jc w:val="lef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注：一氧化碳百分位数为95，臭氧日最大8小时平均百分位数为90。</w:t>
            </w:r>
          </w:p>
          <w:p w14:paraId="504CFE16">
            <w:pPr>
              <w:snapToGrid w:val="0"/>
              <w:spacing w:line="360" w:lineRule="auto"/>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综上所述，</w:t>
            </w:r>
            <w:r>
              <w:rPr>
                <w:rFonts w:hint="eastAsia" w:cs="Times New Roman"/>
                <w:color w:val="auto"/>
                <w:sz w:val="21"/>
                <w:szCs w:val="21"/>
                <w:highlight w:val="none"/>
                <w:lang w:val="en-US" w:eastAsia="zh-CN"/>
              </w:rPr>
              <w:t>2024年</w:t>
            </w:r>
            <w:r>
              <w:rPr>
                <w:rFonts w:hint="default" w:ascii="Times New Roman" w:hAnsi="Times New Roman" w:eastAsia="宋体" w:cs="Times New Roman"/>
                <w:color w:val="auto"/>
                <w:sz w:val="21"/>
                <w:szCs w:val="21"/>
                <w:highlight w:val="none"/>
                <w:lang w:eastAsia="zh-CN"/>
              </w:rPr>
              <w:t>双鸭山市空气基本污染物中PM</w:t>
            </w:r>
            <w:r>
              <w:rPr>
                <w:rFonts w:hint="default" w:ascii="Times New Roman" w:hAnsi="Times New Roman" w:eastAsia="宋体" w:cs="Times New Roman"/>
                <w:color w:val="auto"/>
                <w:sz w:val="21"/>
                <w:szCs w:val="21"/>
                <w:highlight w:val="none"/>
                <w:vertAlign w:val="subscript"/>
                <w:lang w:eastAsia="zh-CN"/>
              </w:rPr>
              <w:t>2.5</w:t>
            </w:r>
            <w:r>
              <w:rPr>
                <w:rFonts w:hint="default" w:ascii="Times New Roman" w:hAnsi="Times New Roman" w:eastAsia="宋体" w:cs="Times New Roman"/>
                <w:color w:val="auto"/>
                <w:sz w:val="21"/>
                <w:szCs w:val="21"/>
                <w:highlight w:val="none"/>
                <w:lang w:eastAsia="zh-CN"/>
              </w:rPr>
              <w:t>、PM</w:t>
            </w:r>
            <w:r>
              <w:rPr>
                <w:rFonts w:hint="default" w:ascii="Times New Roman" w:hAnsi="Times New Roman" w:eastAsia="宋体" w:cs="Times New Roman"/>
                <w:color w:val="auto"/>
                <w:sz w:val="21"/>
                <w:szCs w:val="21"/>
                <w:highlight w:val="none"/>
                <w:vertAlign w:val="subscript"/>
                <w:lang w:eastAsia="zh-CN"/>
              </w:rPr>
              <w:t>10</w:t>
            </w:r>
            <w:r>
              <w:rPr>
                <w:rFonts w:hint="default" w:ascii="Times New Roman" w:hAnsi="Times New Roman" w:eastAsia="宋体" w:cs="Times New Roman"/>
                <w:color w:val="auto"/>
                <w:sz w:val="21"/>
                <w:szCs w:val="21"/>
                <w:highlight w:val="none"/>
                <w:lang w:eastAsia="zh-CN"/>
              </w:rPr>
              <w:t>、SO</w:t>
            </w:r>
            <w:r>
              <w:rPr>
                <w:rFonts w:hint="default" w:ascii="Times New Roman" w:hAnsi="Times New Roman" w:eastAsia="宋体" w:cs="Times New Roman"/>
                <w:color w:val="auto"/>
                <w:sz w:val="21"/>
                <w:szCs w:val="21"/>
                <w:highlight w:val="none"/>
                <w:vertAlign w:val="subscript"/>
                <w:lang w:eastAsia="zh-CN"/>
              </w:rPr>
              <w:t>2</w:t>
            </w:r>
            <w:r>
              <w:rPr>
                <w:rFonts w:hint="default" w:ascii="Times New Roman" w:hAnsi="Times New Roman" w:eastAsia="宋体" w:cs="Times New Roman"/>
                <w:color w:val="auto"/>
                <w:sz w:val="21"/>
                <w:szCs w:val="21"/>
                <w:highlight w:val="none"/>
                <w:lang w:eastAsia="zh-CN"/>
              </w:rPr>
              <w:t>、NO</w:t>
            </w:r>
            <w:r>
              <w:rPr>
                <w:rFonts w:hint="default" w:ascii="Times New Roman" w:hAnsi="Times New Roman" w:eastAsia="宋体" w:cs="Times New Roman"/>
                <w:color w:val="auto"/>
                <w:sz w:val="21"/>
                <w:szCs w:val="21"/>
                <w:highlight w:val="none"/>
                <w:vertAlign w:val="subscript"/>
                <w:lang w:eastAsia="zh-CN"/>
              </w:rPr>
              <w:t>2</w:t>
            </w:r>
            <w:r>
              <w:rPr>
                <w:rFonts w:hint="default" w:ascii="Times New Roman" w:hAnsi="Times New Roman" w:eastAsia="宋体" w:cs="Times New Roman"/>
                <w:color w:val="auto"/>
                <w:sz w:val="21"/>
                <w:szCs w:val="21"/>
                <w:highlight w:val="none"/>
                <w:lang w:eastAsia="zh-CN"/>
              </w:rPr>
              <w:t>年平均质量浓度均满足《环境空气质量标准》（GB3095-2012）及修改单中的二级标准；CO日平均质量浓度、O</w:t>
            </w:r>
            <w:r>
              <w:rPr>
                <w:rFonts w:hint="default" w:ascii="Times New Roman" w:hAnsi="Times New Roman" w:eastAsia="宋体" w:cs="Times New Roman"/>
                <w:color w:val="auto"/>
                <w:sz w:val="21"/>
                <w:szCs w:val="21"/>
                <w:highlight w:val="none"/>
                <w:vertAlign w:val="subscript"/>
                <w:lang w:eastAsia="zh-CN"/>
              </w:rPr>
              <w:t>3</w:t>
            </w:r>
            <w:r>
              <w:rPr>
                <w:rFonts w:hint="default" w:ascii="Times New Roman" w:hAnsi="Times New Roman" w:eastAsia="宋体" w:cs="Times New Roman"/>
                <w:color w:val="auto"/>
                <w:sz w:val="21"/>
                <w:szCs w:val="21"/>
                <w:highlight w:val="none"/>
                <w:lang w:eastAsia="zh-CN"/>
              </w:rPr>
              <w:t>8h平均质量浓度均满足《环境空气质量标准》（GB3095-2012）及修改单中的二级标准，本规划所在区域属于达标区</w:t>
            </w:r>
            <w:r>
              <w:rPr>
                <w:rFonts w:hint="default" w:ascii="Times New Roman" w:hAnsi="Times New Roman" w:eastAsia="宋体" w:cs="Times New Roman"/>
                <w:color w:val="auto"/>
                <w:sz w:val="21"/>
                <w:szCs w:val="21"/>
                <w:highlight w:val="none"/>
              </w:rPr>
              <w:t>。</w:t>
            </w:r>
          </w:p>
          <w:p w14:paraId="2D55A320">
            <w:pPr>
              <w:snapToGrid w:val="0"/>
              <w:spacing w:line="360" w:lineRule="auto"/>
              <w:ind w:firstLine="420" w:firstLineChars="200"/>
              <w:jc w:val="left"/>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zh-CN"/>
              </w:rPr>
              <w:t>水环境质量现状</w:t>
            </w:r>
          </w:p>
          <w:p w14:paraId="5B274F42">
            <w:pPr>
              <w:snapToGrid w:val="0"/>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zh-CN"/>
              </w:rPr>
              <w:t>本项目水环境质量评价采用生态环境保护主管部门统一发布的水环境状况信息。大带河属乌苏里江一级支流。根据</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2024</w:t>
            </w:r>
            <w:r>
              <w:rPr>
                <w:rFonts w:hint="eastAsia" w:ascii="Times New Roman" w:hAnsi="Times New Roman" w:cs="Times New Roman"/>
                <w:color w:val="auto"/>
                <w:sz w:val="21"/>
                <w:szCs w:val="21"/>
                <w:highlight w:val="none"/>
                <w:lang w:val="en-US" w:eastAsia="zh-CN"/>
              </w:rPr>
              <w:t>年黑龙江省生态环境质量状况》全省河流水质状况可知</w:t>
            </w:r>
            <w:r>
              <w:rPr>
                <w:rFonts w:hint="default" w:ascii="Times New Roman" w:hAnsi="Times New Roman" w:cs="Times New Roman"/>
                <w:color w:val="auto"/>
                <w:sz w:val="21"/>
                <w:szCs w:val="21"/>
                <w:highlight w:val="none"/>
                <w:lang w:val="zh-CN"/>
              </w:rPr>
              <w:t>，2024年，乌苏里江水系的干流及5条支流共16个断面，水质状况为良好，其中，Ⅱ类水质占6.2%，Ⅲ类水质占75.0%，Ⅳ类水质占12.5%，V类水质占6.2%，无劣V类水质断面</w:t>
            </w:r>
            <w:r>
              <w:rPr>
                <w:rFonts w:hint="eastAsia" w:cs="Times New Roman"/>
                <w:color w:val="auto"/>
                <w:sz w:val="21"/>
                <w:szCs w:val="21"/>
                <w:highlight w:val="none"/>
                <w:lang w:val="zh-CN"/>
              </w:rPr>
              <w:t>，</w:t>
            </w:r>
            <w:r>
              <w:rPr>
                <w:rFonts w:hint="default" w:ascii="Times New Roman" w:hAnsi="Times New Roman" w:cs="Times New Roman"/>
                <w:color w:val="auto"/>
                <w:sz w:val="21"/>
                <w:szCs w:val="21"/>
                <w:highlight w:val="none"/>
                <w:lang w:val="zh-CN"/>
              </w:rPr>
              <w:t>I~Ⅲ类水质比例为81.2%。与上年同期相比，I~Ⅲ类水质比例上升6.2个百分点，均无劣V类水质断面</w:t>
            </w:r>
            <w:r>
              <w:rPr>
                <w:rFonts w:hint="eastAsia" w:cs="Times New Roman"/>
                <w:color w:val="auto"/>
                <w:sz w:val="21"/>
                <w:szCs w:val="21"/>
                <w:highlight w:val="none"/>
                <w:lang w:val="zh-CN"/>
              </w:rPr>
              <w:t>。</w:t>
            </w:r>
          </w:p>
          <w:p w14:paraId="3CB4BA10">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四</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声环境质量现状</w:t>
            </w:r>
          </w:p>
          <w:p w14:paraId="217BE35F">
            <w:pPr>
              <w:shd w:val="clear" w:color="auto" w:fill="auto"/>
              <w:adjustRightInd w:val="0"/>
              <w:snapToGrid w:val="0"/>
              <w:spacing w:line="360" w:lineRule="auto"/>
              <w:ind w:firstLine="420" w:firstLineChars="200"/>
              <w:jc w:val="left"/>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根据《</w:t>
            </w:r>
            <w:r>
              <w:rPr>
                <w:rFonts w:hint="eastAsia" w:cs="Times New Roman"/>
                <w:color w:val="auto"/>
                <w:sz w:val="21"/>
                <w:szCs w:val="21"/>
                <w:highlight w:val="none"/>
                <w:lang w:val="en-US" w:eastAsia="zh-CN"/>
              </w:rPr>
              <w:t>2024</w:t>
            </w:r>
            <w:r>
              <w:rPr>
                <w:rFonts w:hint="eastAsia" w:ascii="Times New Roman" w:hAnsi="Times New Roman" w:cs="Times New Roman"/>
                <w:color w:val="auto"/>
                <w:sz w:val="21"/>
                <w:szCs w:val="21"/>
                <w:highlight w:val="none"/>
                <w:lang w:val="en-US" w:eastAsia="zh-CN"/>
              </w:rPr>
              <w:t>年黑龙江省生态环境质量状况》可知，双鸭山市区域昼间声环境质量为二级，等效声级为</w:t>
            </w:r>
            <w:r>
              <w:rPr>
                <w:rFonts w:hint="eastAsia" w:cs="Times New Roman"/>
                <w:color w:val="auto"/>
                <w:sz w:val="21"/>
                <w:szCs w:val="21"/>
                <w:highlight w:val="none"/>
                <w:lang w:val="en-US" w:eastAsia="zh-CN"/>
              </w:rPr>
              <w:t>54.4</w:t>
            </w:r>
            <w:r>
              <w:rPr>
                <w:rFonts w:hint="eastAsia" w:ascii="Times New Roman" w:hAnsi="Times New Roman" w:cs="Times New Roman"/>
                <w:color w:val="auto"/>
                <w:sz w:val="21"/>
                <w:szCs w:val="21"/>
                <w:highlight w:val="none"/>
                <w:lang w:val="en-US" w:eastAsia="zh-CN"/>
              </w:rPr>
              <w:t>dB（A）；道路交通昼间声环境质量为一级，等效声级为</w:t>
            </w:r>
            <w:r>
              <w:rPr>
                <w:rFonts w:hint="eastAsia" w:cs="Times New Roman"/>
                <w:color w:val="auto"/>
                <w:sz w:val="21"/>
                <w:szCs w:val="21"/>
                <w:highlight w:val="none"/>
                <w:lang w:val="en-US" w:eastAsia="zh-CN"/>
              </w:rPr>
              <w:t>67.6</w:t>
            </w:r>
            <w:r>
              <w:rPr>
                <w:rFonts w:hint="eastAsia" w:ascii="Times New Roman" w:hAnsi="Times New Roman" w:cs="Times New Roman"/>
                <w:color w:val="auto"/>
                <w:sz w:val="21"/>
                <w:szCs w:val="21"/>
                <w:highlight w:val="none"/>
                <w:lang w:val="en-US" w:eastAsia="zh-CN"/>
              </w:rPr>
              <w:t>dB（A）；功能区昼间达标率</w:t>
            </w:r>
            <w:r>
              <w:rPr>
                <w:rFonts w:hint="eastAsia" w:cs="Times New Roman"/>
                <w:color w:val="auto"/>
                <w:sz w:val="21"/>
                <w:szCs w:val="21"/>
                <w:highlight w:val="none"/>
                <w:lang w:val="en-US" w:eastAsia="zh-CN"/>
              </w:rPr>
              <w:t>100</w:t>
            </w:r>
            <w:r>
              <w:rPr>
                <w:rFonts w:hint="eastAsia" w:ascii="Times New Roman" w:hAnsi="Times New Roman" w:cs="Times New Roman"/>
                <w:color w:val="auto"/>
                <w:sz w:val="21"/>
                <w:szCs w:val="21"/>
                <w:highlight w:val="none"/>
                <w:lang w:val="en-US" w:eastAsia="zh-CN"/>
              </w:rPr>
              <w:t>%；功能区夜间达率</w:t>
            </w:r>
            <w:r>
              <w:rPr>
                <w:rFonts w:hint="eastAsia" w:cs="Times New Roman"/>
                <w:color w:val="auto"/>
                <w:sz w:val="21"/>
                <w:szCs w:val="21"/>
                <w:highlight w:val="none"/>
                <w:lang w:val="en-US" w:eastAsia="zh-CN"/>
              </w:rPr>
              <w:t>93.8</w:t>
            </w:r>
            <w:r>
              <w:rPr>
                <w:rFonts w:hint="eastAsia" w:ascii="Times New Roman" w:hAnsi="Times New Roman" w:cs="Times New Roman"/>
                <w:color w:val="auto"/>
                <w:sz w:val="21"/>
                <w:szCs w:val="21"/>
                <w:highlight w:val="none"/>
                <w:lang w:val="en-US" w:eastAsia="zh-CN"/>
              </w:rPr>
              <w:t>%。</w:t>
            </w:r>
          </w:p>
          <w:p w14:paraId="799D4EE7">
            <w:pPr>
              <w:pStyle w:val="56"/>
              <w:ind w:firstLine="42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根据现场调查，</w:t>
            </w:r>
            <w:r>
              <w:rPr>
                <w:rFonts w:hint="default" w:ascii="Times New Roman" w:hAnsi="Times New Roman" w:cs="Times New Roman"/>
                <w:color w:val="auto"/>
                <w:sz w:val="21"/>
                <w:szCs w:val="21"/>
                <w:highlight w:val="none"/>
                <w:lang w:eastAsia="zh-CN"/>
              </w:rPr>
              <w:t>项目</w:t>
            </w:r>
            <w:r>
              <w:rPr>
                <w:rFonts w:hint="eastAsia" w:cs="Times New Roman"/>
                <w:color w:val="auto"/>
                <w:sz w:val="21"/>
                <w:szCs w:val="21"/>
                <w:highlight w:val="none"/>
                <w:lang w:val="en-US" w:eastAsia="zh-CN"/>
              </w:rPr>
              <w:t>200</w:t>
            </w:r>
            <w:r>
              <w:rPr>
                <w:rFonts w:hint="default" w:ascii="Times New Roman" w:hAnsi="Times New Roman" w:cs="Times New Roman"/>
                <w:color w:val="auto"/>
                <w:sz w:val="21"/>
                <w:szCs w:val="21"/>
                <w:highlight w:val="none"/>
                <w:lang w:val="en-US" w:eastAsia="zh-CN"/>
              </w:rPr>
              <w:t>m范围内无声环境保护目标</w:t>
            </w:r>
            <w:r>
              <w:rPr>
                <w:rFonts w:hint="eastAsia" w:ascii="Times New Roman" w:hAnsi="Times New Roman" w:cs="Times New Roman"/>
                <w:color w:val="auto"/>
                <w:sz w:val="21"/>
                <w:szCs w:val="21"/>
                <w:highlight w:val="none"/>
                <w:lang w:val="en-US" w:eastAsia="zh-CN"/>
              </w:rPr>
              <w:t>，区域声环境质量良好</w:t>
            </w:r>
            <w:r>
              <w:rPr>
                <w:rFonts w:hint="default" w:ascii="Times New Roman" w:hAnsi="Times New Roman" w:cs="Times New Roman"/>
                <w:color w:val="auto"/>
                <w:sz w:val="21"/>
                <w:szCs w:val="21"/>
                <w:highlight w:val="none"/>
                <w:lang w:val="en-US" w:eastAsia="zh-CN"/>
              </w:rPr>
              <w:t>。</w:t>
            </w:r>
          </w:p>
          <w:p w14:paraId="77B46A3A">
            <w:pPr>
              <w:pStyle w:val="107"/>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五、黑龙江饶河东北黑蜂国家级自然保护区</w:t>
            </w:r>
          </w:p>
          <w:p w14:paraId="12674DFA">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17" w:name="_Toc98530858"/>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.1地理位置、面积与保护对象</w:t>
            </w:r>
            <w:bookmarkEnd w:id="17"/>
          </w:p>
          <w:p w14:paraId="00276A5B">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18" w:name="_Toc98530859"/>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.1.1地理位置与面积</w:t>
            </w:r>
            <w:bookmarkEnd w:id="18"/>
          </w:p>
          <w:p w14:paraId="0874D822">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饶河东北黑蜂国家级自然保护区面积为660027hm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地理坐标为东经133°07′26″~134°20′16″，北纬46°36′44″~47°34′26″。保护区东以乌苏里江航道中心线为界，与俄罗斯隔江相望，其中西至富锦市辖区内的大兴农场场部，西北至同江辖区内的洪河农场场部，北至抚远县辖区内的二道河农场场部以上区域为保护区的缓冲区；西南至宝清县辖区内的八五三农场一分场，南至虎林市辖区内东方红林业局的独木河林场以上区域为保护区的实验区。</w:t>
            </w:r>
          </w:p>
          <w:p w14:paraId="1AFFF4EA">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19" w:name="_Toc98530860"/>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.1.2保护对象</w:t>
            </w:r>
            <w:bookmarkEnd w:id="19"/>
          </w:p>
          <w:p w14:paraId="54CB6790">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保护对象为东北黑蜂物种，保护其种源纯度及提高其优良品性，及其所依赖的蜜粉源植物保护。</w:t>
            </w:r>
          </w:p>
          <w:p w14:paraId="21EFD145">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0" w:name="_Toc98530861"/>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.2自然概况</w:t>
            </w:r>
            <w:bookmarkEnd w:id="20"/>
          </w:p>
          <w:p w14:paraId="212854AA">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1" w:name="_Toc98530862"/>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.2.1地质地貌</w:t>
            </w:r>
            <w:bookmarkEnd w:id="21"/>
          </w:p>
          <w:p w14:paraId="18AF4C05">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饶河县位于中国最东部完达山东北支脉那丹哈达拉岭山区,为三江平原、穆棱河流域、乌苏里江流域等中新生代断陷盆地所环抱之古生代岩层残留断块。组成岩石较比较简单，形成多种矿产地质条件有限。区内有低山、丘陵、沟谷平原和低平原四种地形。低山位于中南部完达山东北支脉那丹哈达拉岭，占县域面积的39.1%，平均海拔300m，山脉最高峰830m。丘陵位于低山与平原过渡地段，海拔高度在100-200m，占县域面积16.3%，平原主要分布在北部挠力河两岸和东部乌苏里江西岸地区，海拔50-60m，占县域面积23.1%，河流及泛滥地占县域面积的21.5%，海拔高度40-50m。</w:t>
            </w:r>
          </w:p>
          <w:p w14:paraId="5A58DE6B">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2" w:name="_Toc98530863"/>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.2.2土壤</w:t>
            </w:r>
            <w:bookmarkEnd w:id="22"/>
          </w:p>
          <w:p w14:paraId="6691A803">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土壤主要有暗棕壤、白浆土、草甸土、沼泽土、棕色针叶林土五大类型。以暗棕壤为主，占51%。土壤有机质和养分含量很高，土壤环境良好，有利于农作物生长。白浆土主要分布在保护区南部的丘陵漫岗平缓坡地和山前台地。草甸土是地带性土类之一，上接暗棕壤、白浆土，下连沼泽土，潜在肥力较高。沼泽土主要分布地江河沿线。</w:t>
            </w:r>
          </w:p>
          <w:p w14:paraId="1EA4A1DF">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3" w:name="_Toc98530864"/>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.2.3水文</w:t>
            </w:r>
            <w:bookmarkEnd w:id="23"/>
          </w:p>
          <w:p w14:paraId="72CCF5B8">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区内水资源充沛，一江二十八河（乌苏里江水系及其支流阿布沁河、外七里沁河、大别拉洪河、大岱河等）脉贯全县9个乡镇，水资源总量为16.6亿m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，流域面积在50km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的河流有25条。地下水资源总量为7.1亿m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开发潜力很大。本区地处偏远、人口稀少、污染企业少，因此地表水水质基本保持II类，水质清澈。地下水埋深多为3-5m，补给源充足，在挠力河及乌苏里江等流域，地下水位与江河水位相应，即江河涨水，则地下水位随之增高，反之，亦然，PH值偏酸性。</w:t>
            </w:r>
          </w:p>
          <w:p w14:paraId="093ACC00">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4" w:name="_Toc98530865"/>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.2.4气候</w:t>
            </w:r>
            <w:bookmarkEnd w:id="24"/>
          </w:p>
          <w:p w14:paraId="2AE9212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属温带大陆季风气候，春季回暖迟，夏季短促，温热多雨，秋季降温急剧，冬季漫长严寒。年平均气温1.6℃，极端最高气温36.6℃，极端最低气温-43℃。小于10℃活动积温2200-2400℃，无霜期110-125天，初霜最早出现在9月上旬，终霜平均在5月中旬。年平均降水583mm，降水量分布不均，由平原向山区逐步递增。年平均日照时数2300-2500小时，低于全省大部分地区，山区少于平原。</w:t>
            </w:r>
          </w:p>
          <w:p w14:paraId="377FF8D6">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5" w:name="_Toc98530866"/>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.3植物资源</w:t>
            </w:r>
            <w:bookmarkEnd w:id="25"/>
          </w:p>
          <w:p w14:paraId="7F57D80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保护区内维管束植物达1050种，其中，经济植物资源370种，包括药用植物、食用植物、纤维植物、蜜粉源植物、油料植物、芳香植物等。蜜粉源植物近200种，乔木有椴树、黄檗、茶条槭、柳树等，灌木有胡枝子、榛子、毛榛子等，草本植物有毛水苏、小叶章、大蓟、柳叶绣线菊等。在蜜粉源植物中，杨柳科、毛茛科、伞形科、豆科、菊科等分布种类较多。椴树科等虽分布种类少，但其分布广泛，植株泌蜜量较高，蜜粉源储量大，是保护区蜜粉源植物的重要组成部分。</w:t>
            </w:r>
          </w:p>
          <w:p w14:paraId="3925D484">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草地资源：现有可利用草地面积1130hm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，沼泽地面积1万多hm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。植被以小叶樟、苔草植被为主，伴生有沼柳、毛水苏等。</w:t>
            </w:r>
          </w:p>
          <w:p w14:paraId="588EF1F9">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森林资源：有森林面积35.1万hm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，分属国营农场、森工林场、县属。活立木总蓄积时3822.3万m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，占全省总蓄积量2.6%。森林覆盖率为51%，主要分布在南部地区，树种达上百种，既有红松、黄檗、胡桃楸、水曲柳等珍贵树种，也有杨、柞、桦、椴等其它树种。林下资源有山野菜、野果、食用菌等。</w:t>
            </w:r>
          </w:p>
          <w:p w14:paraId="40679E9F">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6" w:name="_Toc98530867"/>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.4动物资源</w:t>
            </w:r>
            <w:bookmarkEnd w:id="26"/>
          </w:p>
          <w:p w14:paraId="12ED3692">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野生动物一般分布在南部山区，县域内分布的兽类有50种，分属16科。其中国家级保护动物有马鹿、黑熊、猞猁、雪兔、水獭等。地方保护动物种类较多，如松鼠、刺猬、黄鼬、狼、狍子、野猪等。鸟类190多种，其中国家一级保护鸟类有丹顶鹤、白鹳、白尾海雕等，国家二级保护鸟类有白枕鹤、大天鹅、鸳鸯、花尾榛鸡等。此外还有两栖动物9种，爬行动物8种。</w:t>
            </w:r>
          </w:p>
          <w:p w14:paraId="2A5FDD32">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县域江河纵横，泡沼棋布，可利用养鱼水面为1766hm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，水质肥美，鱼类资源十分丰富。据调查鱼类有16科69种。以鲤科最多，28种。常见鲤、鲫、鳊、鲟、鳇、鲑、鲶、哲罗、甲鱼等。</w:t>
            </w:r>
          </w:p>
          <w:p w14:paraId="497DE949">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7" w:name="_Toc98530868"/>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.5生态系统现状</w:t>
            </w:r>
            <w:bookmarkEnd w:id="27"/>
          </w:p>
          <w:p w14:paraId="0727B14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黑龙江饶河东北黑蜂保护区是以保护我国唯一的东北黑蜂种群及其赖以生存的森林生态系统为保护对象，是集生物多样性保护、科学研究、宣传教育、生态旅游和可持续利用等多功能于一体的综合性自然保护区。该保护区位于北半球高纬度地带，地处完达山那丹哈达拉岭东北支脉，北倚三江平原，以北温带山地森林生态系统特征为主，兼具有东北东部山地和三江平原的动植物区系特征。</w:t>
            </w:r>
          </w:p>
          <w:p w14:paraId="7B725261">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保护区生态系统多样，以山地森林生态系统为主，共有5个植被型、10个植被亚型、12个群系组、14个群系和27个群丛组或群丛。地带性植被为针阔混交林和阔叶林；非地带性植被主要包括灌丛、草甸、沼泽和草塘。</w:t>
            </w:r>
          </w:p>
          <w:p w14:paraId="6962E1BB">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保护区生物多样性非常丰富，共有高等植物140科358属685种，另有大型真菌11目、47科、325种；共有脊椎动物302种，昆虫纲动物12目75科369种。保护区有国家II级保护野生植物6种；国家I级保护野生动物10种，其中兽类3种，鸟类7种；国家II级保护野生动物39种，其中兽类7种，鸟类32种。</w:t>
            </w:r>
          </w:p>
          <w:p w14:paraId="2E1A095B">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保护区作为全国乃至亚洲唯一的东北黑蜂自然保护区，对保护和续存东北黑蜂种群，保持东北黑蜂种群遗传纯度，推进东北黑蜂科学研究和开发利用，乃至东北三江平原的水源涵养、水土保持、提高防洪抗旱能力，都具有极其重要的意义。</w:t>
            </w:r>
          </w:p>
          <w:p w14:paraId="6919B191">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东北黑蜂国家级自然保护区生态环境良好，森林覆盖率达37%，加上天然草地、农作物，绿色覆被率达70%以上。广袤的森林和天然草地、湿地，起到了固土蓄水，吸尘和净化空气的作用。由于保护区开发历史较短，人烟稀少，农业发展慢，工业起步晚，破坏程度低，加之交通不便，与内地往来不频繁，人为干扰因素较少，属于相对闭锁区域，保护区三面环山，一面临水，具有得天独厚的良好自然屏障隔离条件，因此，环境质量较高，区域部分地貌仍保持原始状态。大气、地表水的主要环境质量指标仍保持在国家一级（类）标准之内，均属于相对清洁区。</w:t>
            </w:r>
          </w:p>
          <w:p w14:paraId="29271504">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8" w:name="_Toc98530869"/>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.6植被及植物多样性调查</w:t>
            </w:r>
            <w:bookmarkEnd w:id="28"/>
          </w:p>
          <w:p w14:paraId="797BDE4A">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29" w:name="_Toc98530870"/>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.6.1植物区系</w:t>
            </w:r>
            <w:bookmarkEnd w:id="29"/>
          </w:p>
          <w:p w14:paraId="0506B01A">
            <w:pPr>
              <w:keepNext w:val="0"/>
              <w:keepLines w:val="0"/>
              <w:pageBreakBefore w:val="0"/>
              <w:widowControl w:val="0"/>
              <w:kinsoku/>
              <w:wordWrap/>
              <w:overflowPunct/>
              <w:topLinePunct w:val="0"/>
              <w:autoSpaceDE/>
              <w:autoSpaceDN/>
              <w:bidi w:val="0"/>
              <w:spacing w:line="360" w:lineRule="auto"/>
              <w:ind w:firstLine="40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pacing w:val="-5"/>
                <w:sz w:val="21"/>
                <w:szCs w:val="21"/>
                <w:highlight w:val="none"/>
              </w:rPr>
              <w:t>根据Kitagwa(1979)关于种子植物区系的分类，东北黑蜂自然保护区种子植</w:t>
            </w:r>
            <w:r>
              <w:rPr>
                <w:rFonts w:hint="default" w:ascii="Times New Roman" w:hAnsi="Times New Roman" w:eastAsia="宋体" w:cs="Times New Roman"/>
                <w:b w:val="0"/>
                <w:bCs w:val="0"/>
                <w:color w:val="auto"/>
                <w:sz w:val="21"/>
                <w:szCs w:val="21"/>
                <w:highlight w:val="none"/>
              </w:rPr>
              <w:t>物区系成分可为长白植物区系成分（MA</w:t>
            </w:r>
            <w:r>
              <w:rPr>
                <w:rFonts w:hint="default" w:ascii="Times New Roman" w:hAnsi="Times New Roman" w:eastAsia="宋体" w:cs="Times New Roman"/>
                <w:b w:val="0"/>
                <w:bCs w:val="0"/>
                <w:color w:val="auto"/>
                <w:spacing w:val="-64"/>
                <w:sz w:val="21"/>
                <w:szCs w:val="21"/>
                <w:highlight w:val="none"/>
              </w:rPr>
              <w:t>），</w:t>
            </w:r>
            <w:r>
              <w:rPr>
                <w:rFonts w:hint="default" w:ascii="Times New Roman" w:hAnsi="Times New Roman" w:eastAsia="宋体" w:cs="Times New Roman"/>
                <w:b w:val="0"/>
                <w:bCs w:val="0"/>
                <w:color w:val="auto"/>
                <w:sz w:val="21"/>
                <w:szCs w:val="21"/>
                <w:highlight w:val="none"/>
              </w:rPr>
              <w:t>东西伯利亚植物区系成分（DA</w:t>
            </w:r>
            <w:r>
              <w:rPr>
                <w:rFonts w:hint="default" w:ascii="Times New Roman" w:hAnsi="Times New Roman" w:eastAsia="宋体" w:cs="Times New Roman"/>
                <w:b w:val="0"/>
                <w:bCs w:val="0"/>
                <w:color w:val="auto"/>
                <w:spacing w:val="-64"/>
                <w:sz w:val="21"/>
                <w:szCs w:val="21"/>
                <w:highlight w:val="none"/>
              </w:rPr>
              <w:t>），</w:t>
            </w:r>
            <w:r>
              <w:rPr>
                <w:rFonts w:hint="default" w:ascii="Times New Roman" w:hAnsi="Times New Roman" w:eastAsia="宋体" w:cs="Times New Roman"/>
                <w:b w:val="0"/>
                <w:bCs w:val="0"/>
                <w:color w:val="auto"/>
                <w:sz w:val="21"/>
                <w:szCs w:val="21"/>
                <w:highlight w:val="none"/>
              </w:rPr>
              <w:t>蒙古植物区系成分（MO）和华北植物区系成分（NC）。在这些种子植物中，单区</w:t>
            </w:r>
            <w:r>
              <w:rPr>
                <w:rFonts w:hint="default" w:ascii="Times New Roman" w:hAnsi="Times New Roman" w:eastAsia="宋体" w:cs="Times New Roman"/>
                <w:b w:val="0"/>
                <w:bCs w:val="0"/>
                <w:color w:val="auto"/>
                <w:spacing w:val="-1"/>
                <w:sz w:val="21"/>
                <w:szCs w:val="21"/>
                <w:highlight w:val="none"/>
              </w:rPr>
              <w:t>成分占总种数的，26.33%；两区共有成分占总种数的40.09%；三区共有成分占</w:t>
            </w:r>
            <w:r>
              <w:rPr>
                <w:rFonts w:hint="default" w:ascii="Times New Roman" w:hAnsi="Times New Roman" w:eastAsia="宋体" w:cs="Times New Roman"/>
                <w:b w:val="0"/>
                <w:bCs w:val="0"/>
                <w:color w:val="auto"/>
                <w:sz w:val="21"/>
                <w:szCs w:val="21"/>
                <w:highlight w:val="none"/>
              </w:rPr>
              <w:t>总种数的22.32%；四区共有成分占总种数11.26%。这充分说明了保护区植物区</w:t>
            </w:r>
            <w:r>
              <w:rPr>
                <w:rFonts w:hint="default" w:ascii="Times New Roman" w:hAnsi="Times New Roman" w:eastAsia="宋体" w:cs="Times New Roman"/>
                <w:b w:val="0"/>
                <w:bCs w:val="0"/>
                <w:color w:val="auto"/>
                <w:spacing w:val="-5"/>
                <w:sz w:val="21"/>
                <w:szCs w:val="21"/>
                <w:highlight w:val="none"/>
              </w:rPr>
              <w:t>系成分的复杂性。</w:t>
            </w:r>
          </w:p>
          <w:p w14:paraId="6FF3C582">
            <w:pPr>
              <w:keepNext w:val="0"/>
              <w:keepLines w:val="0"/>
              <w:pageBreakBefore w:val="0"/>
              <w:widowControl w:val="0"/>
              <w:kinsoku/>
              <w:wordWrap/>
              <w:overflowPunct/>
              <w:topLinePunct w:val="0"/>
              <w:autoSpaceDE/>
              <w:autoSpaceDN/>
              <w:bidi w:val="0"/>
              <w:spacing w:line="360" w:lineRule="auto"/>
              <w:ind w:firstLine="404"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pacing w:val="-4"/>
                <w:sz w:val="21"/>
                <w:szCs w:val="21"/>
                <w:highlight w:val="none"/>
              </w:rPr>
              <w:t>饶河东北黑蜂保护区植物区系中属长白植物区系。但由于受其它区系成分的</w:t>
            </w:r>
            <w:r>
              <w:rPr>
                <w:rFonts w:hint="default" w:ascii="Times New Roman" w:hAnsi="Times New Roman" w:eastAsia="宋体" w:cs="Times New Roman"/>
                <w:b w:val="0"/>
                <w:bCs w:val="0"/>
                <w:color w:val="auto"/>
                <w:spacing w:val="-12"/>
                <w:sz w:val="21"/>
                <w:szCs w:val="21"/>
                <w:highlight w:val="none"/>
              </w:rPr>
              <w:t>影响和渗透，形成了多区系成分种重叠混杂的现象。导致植物种类虽然不多，但</w:t>
            </w:r>
            <w:r>
              <w:rPr>
                <w:rFonts w:hint="default" w:ascii="Times New Roman" w:hAnsi="Times New Roman" w:eastAsia="宋体" w:cs="Times New Roman"/>
                <w:b w:val="0"/>
                <w:bCs w:val="0"/>
                <w:color w:val="auto"/>
                <w:spacing w:val="-2"/>
                <w:sz w:val="21"/>
                <w:szCs w:val="21"/>
                <w:highlight w:val="none"/>
              </w:rPr>
              <w:t>区系成分较为复杂。从而丰富了本区植物区系地理成分，并具有独特性。</w:t>
            </w:r>
          </w:p>
          <w:p w14:paraId="04F35F5F">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以长白植物区系成分在本区所占比重较大，其次为东西伯利亚植物区系成分</w:t>
            </w:r>
            <w:r>
              <w:rPr>
                <w:rFonts w:hint="default" w:ascii="Times New Roman" w:hAnsi="Times New Roman" w:eastAsia="宋体" w:cs="Times New Roman"/>
                <w:b w:val="0"/>
                <w:bCs w:val="0"/>
                <w:color w:val="auto"/>
                <w:spacing w:val="-2"/>
                <w:sz w:val="21"/>
                <w:szCs w:val="21"/>
                <w:highlight w:val="none"/>
              </w:rPr>
              <w:t>和华北植物区系成分。蒙古植物区系成分所占比重相对较少。</w:t>
            </w:r>
          </w:p>
          <w:p w14:paraId="7A6CA4CE">
            <w:pPr>
              <w:pStyle w:val="108"/>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bookmarkStart w:id="30" w:name="_Toc98530871"/>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.6.2植被</w:t>
            </w:r>
            <w:bookmarkEnd w:id="30"/>
          </w:p>
          <w:p w14:paraId="15252511">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（1）植物种类组成</w:t>
            </w:r>
          </w:p>
          <w:p w14:paraId="57FC725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中国珍稀濒危保护植物名录》（一）（国家环境保护局、中国科学院植物研究所，1987）和《国家重点保护野生植物名录（第一批）》（国家林业局、农业部，1999），黑龙江省黑龙江饶河东北黑蜂国家级自然保护有国家II级保护野生植物红松、黄檗、紫椴、水曲柳、野大豆、莲6种，以上说明了保护区具有较高的物种稀有性。红松(</w:t>
            </w:r>
            <w:r>
              <w:rPr>
                <w:rFonts w:hint="default" w:ascii="Times New Roman" w:hAnsi="Times New Roman" w:eastAsia="宋体" w:cs="Times New Roman"/>
                <w:b w:val="0"/>
                <w:bCs w:val="0"/>
                <w:i/>
                <w:color w:val="auto"/>
                <w:sz w:val="21"/>
                <w:szCs w:val="21"/>
                <w:highlight w:val="none"/>
              </w:rPr>
              <w:t>Pinuskoraiensis</w:t>
            </w:r>
            <w:r>
              <w:rPr>
                <w:rFonts w:hint="default" w:ascii="Times New Roman" w:hAnsi="Times New Roman" w:eastAsia="宋体" w:cs="Times New Roman"/>
                <w:b w:val="0"/>
                <w:bCs w:val="0"/>
                <w:color w:val="auto"/>
                <w:sz w:val="21"/>
                <w:szCs w:val="21"/>
                <w:highlight w:val="none"/>
              </w:rPr>
              <w:t>)、水曲柳(</w:t>
            </w:r>
            <w:r>
              <w:rPr>
                <w:rFonts w:hint="default" w:ascii="Times New Roman" w:hAnsi="Times New Roman" w:eastAsia="宋体" w:cs="Times New Roman"/>
                <w:b w:val="0"/>
                <w:bCs w:val="0"/>
                <w:i/>
                <w:color w:val="auto"/>
                <w:sz w:val="21"/>
                <w:szCs w:val="21"/>
                <w:highlight w:val="none"/>
              </w:rPr>
              <w:t>Fraxinusmandshurica</w:t>
            </w:r>
            <w:r>
              <w:rPr>
                <w:rFonts w:hint="default" w:ascii="Times New Roman" w:hAnsi="Times New Roman" w:eastAsia="宋体" w:cs="Times New Roman"/>
                <w:b w:val="0"/>
                <w:bCs w:val="0"/>
                <w:color w:val="auto"/>
                <w:sz w:val="21"/>
                <w:szCs w:val="21"/>
                <w:highlight w:val="none"/>
              </w:rPr>
              <w:t>)、黄檗(</w:t>
            </w:r>
            <w:r>
              <w:rPr>
                <w:rFonts w:hint="default" w:ascii="Times New Roman" w:hAnsi="Times New Roman" w:eastAsia="宋体" w:cs="Times New Roman"/>
                <w:b w:val="0"/>
                <w:bCs w:val="0"/>
                <w:i/>
                <w:color w:val="auto"/>
                <w:sz w:val="21"/>
                <w:szCs w:val="21"/>
                <w:highlight w:val="none"/>
              </w:rPr>
              <w:t>Phellodendronamurense</w:t>
            </w:r>
            <w:r>
              <w:rPr>
                <w:rFonts w:hint="default" w:ascii="Times New Roman" w:hAnsi="Times New Roman" w:eastAsia="宋体" w:cs="Times New Roman"/>
                <w:b w:val="0"/>
                <w:bCs w:val="0"/>
                <w:color w:val="auto"/>
                <w:sz w:val="21"/>
                <w:szCs w:val="21"/>
                <w:highlight w:val="none"/>
              </w:rPr>
              <w:t>)、紫椴(</w:t>
            </w:r>
            <w:r>
              <w:rPr>
                <w:rFonts w:hint="default" w:ascii="Times New Roman" w:hAnsi="Times New Roman" w:eastAsia="宋体" w:cs="Times New Roman"/>
                <w:b w:val="0"/>
                <w:bCs w:val="0"/>
                <w:i/>
                <w:color w:val="auto"/>
                <w:sz w:val="21"/>
                <w:szCs w:val="21"/>
                <w:highlight w:val="none"/>
              </w:rPr>
              <w:t>Tiliaamurensis</w:t>
            </w:r>
            <w:r>
              <w:rPr>
                <w:rFonts w:hint="default" w:ascii="Times New Roman" w:hAnsi="Times New Roman" w:eastAsia="宋体" w:cs="Times New Roman"/>
                <w:b w:val="0"/>
                <w:bCs w:val="0"/>
                <w:color w:val="auto"/>
                <w:sz w:val="21"/>
                <w:szCs w:val="21"/>
                <w:highlight w:val="none"/>
              </w:rPr>
              <w:t>)、野大豆(</w:t>
            </w:r>
            <w:r>
              <w:rPr>
                <w:rFonts w:hint="default" w:ascii="Times New Roman" w:hAnsi="Times New Roman" w:eastAsia="宋体" w:cs="Times New Roman"/>
                <w:b w:val="0"/>
                <w:bCs w:val="0"/>
                <w:i/>
                <w:color w:val="auto"/>
                <w:sz w:val="21"/>
                <w:szCs w:val="21"/>
                <w:highlight w:val="none"/>
              </w:rPr>
              <w:t>Glycinesoja</w:t>
            </w:r>
            <w:r>
              <w:rPr>
                <w:rFonts w:hint="default" w:ascii="Times New Roman" w:hAnsi="Times New Roman" w:eastAsia="宋体" w:cs="Times New Roman"/>
                <w:b w:val="0"/>
                <w:bCs w:val="0"/>
                <w:color w:val="auto"/>
                <w:sz w:val="21"/>
                <w:szCs w:val="21"/>
                <w:highlight w:val="none"/>
              </w:rPr>
              <w:t>)、莲(</w:t>
            </w:r>
            <w:r>
              <w:rPr>
                <w:rFonts w:hint="default" w:ascii="Times New Roman" w:hAnsi="Times New Roman" w:eastAsia="宋体" w:cs="Times New Roman"/>
                <w:b w:val="0"/>
                <w:bCs w:val="0"/>
                <w:i/>
                <w:color w:val="auto"/>
                <w:sz w:val="21"/>
                <w:szCs w:val="21"/>
                <w:highlight w:val="none"/>
              </w:rPr>
              <w:t>Nelumbonucifera</w:t>
            </w:r>
            <w:r>
              <w:rPr>
                <w:rFonts w:hint="default" w:ascii="Times New Roman" w:hAnsi="Times New Roman" w:eastAsia="宋体" w:cs="Times New Roman"/>
                <w:b w:val="0"/>
                <w:bCs w:val="0"/>
                <w:color w:val="auto"/>
                <w:sz w:val="21"/>
                <w:szCs w:val="21"/>
                <w:highlight w:val="none"/>
              </w:rPr>
              <w:t>)，饶河东北黑蜂保护区国家级保护植物列表见下表。</w:t>
            </w:r>
          </w:p>
          <w:p w14:paraId="2C21F502">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Times New Roman" w:hAnsi="Times New Roman" w:eastAsia="黑体" w:cs="Times New Roman"/>
                <w:color w:val="auto"/>
                <w:kern w:val="0"/>
                <w:sz w:val="21"/>
                <w:szCs w:val="20"/>
                <w:highlight w:val="none"/>
                <w:lang w:val="en-US" w:eastAsia="zh-CN" w:bidi="ar-SA"/>
              </w:rPr>
            </w:pPr>
            <w:r>
              <w:rPr>
                <w:rFonts w:ascii="Times New Roman" w:hAnsi="Times New Roman" w:eastAsia="黑体" w:cs="Times New Roman"/>
                <w:color w:val="auto"/>
                <w:kern w:val="0"/>
                <w:sz w:val="21"/>
                <w:szCs w:val="20"/>
                <w:highlight w:val="none"/>
                <w:lang w:val="en-US" w:eastAsia="zh-CN" w:bidi="ar-SA"/>
              </w:rPr>
              <w:t>表3-</w:t>
            </w:r>
            <w:r>
              <w:rPr>
                <w:rFonts w:hint="eastAsia" w:ascii="Times New Roman" w:hAnsi="Times New Roman" w:eastAsia="黑体" w:cs="Times New Roman"/>
                <w:color w:val="auto"/>
                <w:kern w:val="0"/>
                <w:sz w:val="21"/>
                <w:szCs w:val="20"/>
                <w:highlight w:val="none"/>
                <w:lang w:val="en-US" w:eastAsia="zh-CN" w:bidi="ar-SA"/>
              </w:rPr>
              <w:t>3</w:t>
            </w:r>
            <w:r>
              <w:rPr>
                <w:rFonts w:ascii="Times New Roman" w:hAnsi="Times New Roman" w:eastAsia="黑体" w:cs="Times New Roman"/>
                <w:color w:val="auto"/>
                <w:kern w:val="0"/>
                <w:sz w:val="21"/>
                <w:szCs w:val="20"/>
                <w:highlight w:val="none"/>
                <w:lang w:val="en-US" w:eastAsia="zh-CN" w:bidi="ar-SA"/>
              </w:rPr>
              <w:t>饶河东北黑蜂保护区国家级保护植物</w:t>
            </w:r>
          </w:p>
          <w:p w14:paraId="5700CBDC">
            <w:pPr>
              <w:spacing w:line="30" w:lineRule="exact"/>
              <w:rPr>
                <w:highlight w:val="none"/>
              </w:rPr>
            </w:pPr>
          </w:p>
          <w:tbl>
            <w:tblPr>
              <w:tblStyle w:val="26"/>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1446"/>
              <w:gridCol w:w="2314"/>
              <w:gridCol w:w="1236"/>
              <w:gridCol w:w="1032"/>
              <w:gridCol w:w="616"/>
            </w:tblGrid>
            <w:tr w14:paraId="66786A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46" w:hRule="atLeast"/>
              </w:trPr>
              <w:tc>
                <w:tcPr>
                  <w:tcW w:w="437" w:type="pct"/>
                  <w:tcBorders>
                    <w:top w:val="single" w:color="auto" w:sz="12" w:space="0"/>
                    <w:left w:val="nil"/>
                    <w:tl2br w:val="single" w:color="000000" w:sz="6" w:space="0"/>
                  </w:tcBorders>
                  <w:noWrap w:val="0"/>
                  <w:vAlign w:val="center"/>
                </w:tcPr>
                <w:p w14:paraId="576729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序号</w:t>
                  </w:r>
                </w:p>
              </w:tc>
              <w:tc>
                <w:tcPr>
                  <w:tcW w:w="993" w:type="pct"/>
                  <w:tcBorders>
                    <w:top w:val="single" w:color="auto" w:sz="12" w:space="0"/>
                  </w:tcBorders>
                  <w:noWrap w:val="0"/>
                  <w:vAlign w:val="center"/>
                </w:tcPr>
                <w:p w14:paraId="758605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植物名称</w:t>
                  </w:r>
                </w:p>
              </w:tc>
              <w:tc>
                <w:tcPr>
                  <w:tcW w:w="1589" w:type="pct"/>
                  <w:tcBorders>
                    <w:top w:val="single" w:color="auto" w:sz="12" w:space="0"/>
                  </w:tcBorders>
                  <w:noWrap w:val="0"/>
                  <w:vAlign w:val="center"/>
                </w:tcPr>
                <w:p w14:paraId="5CC8F9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拉丁文</w:t>
                  </w:r>
                </w:p>
              </w:tc>
              <w:tc>
                <w:tcPr>
                  <w:tcW w:w="849" w:type="pct"/>
                  <w:tcBorders>
                    <w:top w:val="single" w:color="auto" w:sz="12" w:space="0"/>
                  </w:tcBorders>
                  <w:noWrap w:val="0"/>
                  <w:vAlign w:val="center"/>
                </w:tcPr>
                <w:p w14:paraId="484359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科名</w:t>
                  </w:r>
                </w:p>
              </w:tc>
              <w:tc>
                <w:tcPr>
                  <w:tcW w:w="709" w:type="pct"/>
                  <w:tcBorders>
                    <w:top w:val="single" w:color="auto" w:sz="12" w:space="0"/>
                  </w:tcBorders>
                  <w:noWrap w:val="0"/>
                  <w:vAlign w:val="center"/>
                </w:tcPr>
                <w:p w14:paraId="5E4BC0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保护等级</w:t>
                  </w:r>
                </w:p>
              </w:tc>
              <w:tc>
                <w:tcPr>
                  <w:tcW w:w="425" w:type="pct"/>
                  <w:tcBorders>
                    <w:top w:val="single" w:color="auto" w:sz="12" w:space="0"/>
                    <w:right w:val="nil"/>
                  </w:tcBorders>
                  <w:noWrap w:val="0"/>
                  <w:vAlign w:val="center"/>
                </w:tcPr>
                <w:p w14:paraId="0F97DA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备注</w:t>
                  </w:r>
                </w:p>
              </w:tc>
            </w:tr>
            <w:tr w14:paraId="2CCB29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0" w:hRule="atLeast"/>
              </w:trPr>
              <w:tc>
                <w:tcPr>
                  <w:tcW w:w="437" w:type="pct"/>
                  <w:tcBorders>
                    <w:left w:val="nil"/>
                  </w:tcBorders>
                  <w:noWrap w:val="0"/>
                  <w:vAlign w:val="center"/>
                </w:tcPr>
                <w:p w14:paraId="0DE5F3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w:t>
                  </w:r>
                </w:p>
              </w:tc>
              <w:tc>
                <w:tcPr>
                  <w:tcW w:w="993" w:type="pct"/>
                  <w:noWrap w:val="0"/>
                  <w:vAlign w:val="center"/>
                </w:tcPr>
                <w:p w14:paraId="56FDF6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红松</w:t>
                  </w:r>
                </w:p>
              </w:tc>
              <w:tc>
                <w:tcPr>
                  <w:tcW w:w="1589" w:type="pct"/>
                  <w:noWrap w:val="0"/>
                  <w:vAlign w:val="center"/>
                </w:tcPr>
                <w:p w14:paraId="7A6CC0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i/>
                      <w:iCs/>
                      <w:color w:val="auto"/>
                      <w:kern w:val="0"/>
                      <w:sz w:val="18"/>
                      <w:szCs w:val="18"/>
                      <w:highlight w:val="none"/>
                    </w:rPr>
                    <w:t>Pinuskoraiensis</w:t>
                  </w:r>
                </w:p>
              </w:tc>
              <w:tc>
                <w:tcPr>
                  <w:tcW w:w="849" w:type="pct"/>
                  <w:noWrap w:val="0"/>
                  <w:vAlign w:val="center"/>
                </w:tcPr>
                <w:p w14:paraId="721989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4"/>
                      <w:kern w:val="0"/>
                      <w:sz w:val="18"/>
                      <w:szCs w:val="18"/>
                      <w:highlight w:val="none"/>
                    </w:rPr>
                    <w:t>松科</w:t>
                  </w:r>
                </w:p>
              </w:tc>
              <w:tc>
                <w:tcPr>
                  <w:tcW w:w="709" w:type="pct"/>
                  <w:noWrap w:val="0"/>
                  <w:vAlign w:val="center"/>
                </w:tcPr>
                <w:p w14:paraId="67A51A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渐危、III</w:t>
                  </w:r>
                </w:p>
              </w:tc>
              <w:tc>
                <w:tcPr>
                  <w:tcW w:w="425" w:type="pct"/>
                  <w:tcBorders>
                    <w:right w:val="nil"/>
                  </w:tcBorders>
                  <w:noWrap w:val="0"/>
                  <w:vAlign w:val="center"/>
                </w:tcPr>
                <w:p w14:paraId="3F7C97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w:t>
                  </w:r>
                </w:p>
              </w:tc>
            </w:tr>
            <w:tr w14:paraId="49A061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3" w:hRule="atLeast"/>
              </w:trPr>
              <w:tc>
                <w:tcPr>
                  <w:tcW w:w="437" w:type="pct"/>
                  <w:tcBorders>
                    <w:left w:val="nil"/>
                  </w:tcBorders>
                  <w:noWrap w:val="0"/>
                  <w:vAlign w:val="center"/>
                </w:tcPr>
                <w:p w14:paraId="773E29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w:t>
                  </w:r>
                </w:p>
              </w:tc>
              <w:tc>
                <w:tcPr>
                  <w:tcW w:w="993" w:type="pct"/>
                  <w:noWrap w:val="0"/>
                  <w:vAlign w:val="center"/>
                </w:tcPr>
                <w:p w14:paraId="1B5B4A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水曲柳</w:t>
                  </w:r>
                </w:p>
              </w:tc>
              <w:tc>
                <w:tcPr>
                  <w:tcW w:w="1589" w:type="pct"/>
                  <w:noWrap w:val="0"/>
                  <w:vAlign w:val="center"/>
                </w:tcPr>
                <w:p w14:paraId="49A118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i/>
                      <w:iCs/>
                      <w:color w:val="auto"/>
                      <w:kern w:val="0"/>
                      <w:sz w:val="18"/>
                      <w:szCs w:val="18"/>
                      <w:highlight w:val="none"/>
                    </w:rPr>
                    <w:t>Fraxinusmandshurica</w:t>
                  </w:r>
                </w:p>
              </w:tc>
              <w:tc>
                <w:tcPr>
                  <w:tcW w:w="849" w:type="pct"/>
                  <w:noWrap w:val="0"/>
                  <w:vAlign w:val="center"/>
                </w:tcPr>
                <w:p w14:paraId="5D8EF9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木犀科</w:t>
                  </w:r>
                </w:p>
              </w:tc>
              <w:tc>
                <w:tcPr>
                  <w:tcW w:w="709" w:type="pct"/>
                  <w:noWrap w:val="0"/>
                  <w:vAlign w:val="center"/>
                </w:tcPr>
                <w:p w14:paraId="35757D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2"/>
                      <w:kern w:val="0"/>
                      <w:sz w:val="18"/>
                      <w:szCs w:val="18"/>
                      <w:highlight w:val="none"/>
                    </w:rPr>
                    <w:t>渐危、II</w:t>
                  </w:r>
                </w:p>
              </w:tc>
              <w:tc>
                <w:tcPr>
                  <w:tcW w:w="425" w:type="pct"/>
                  <w:tcBorders>
                    <w:right w:val="nil"/>
                  </w:tcBorders>
                  <w:noWrap w:val="0"/>
                  <w:vAlign w:val="center"/>
                </w:tcPr>
                <w:p w14:paraId="472BD9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0"/>
                      <w:kern w:val="0"/>
                      <w:sz w:val="18"/>
                      <w:szCs w:val="18"/>
                      <w:highlight w:val="none"/>
                    </w:rPr>
                    <w:t>1、2</w:t>
                  </w:r>
                </w:p>
              </w:tc>
            </w:tr>
            <w:tr w14:paraId="621202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1" w:hRule="atLeast"/>
              </w:trPr>
              <w:tc>
                <w:tcPr>
                  <w:tcW w:w="437" w:type="pct"/>
                  <w:tcBorders>
                    <w:left w:val="nil"/>
                  </w:tcBorders>
                  <w:noWrap w:val="0"/>
                  <w:vAlign w:val="center"/>
                </w:tcPr>
                <w:p w14:paraId="52AEB9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3</w:t>
                  </w:r>
                </w:p>
              </w:tc>
              <w:tc>
                <w:tcPr>
                  <w:tcW w:w="993" w:type="pct"/>
                  <w:noWrap w:val="0"/>
                  <w:vAlign w:val="center"/>
                </w:tcPr>
                <w:p w14:paraId="2E15C9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黄檗</w:t>
                  </w:r>
                </w:p>
              </w:tc>
              <w:tc>
                <w:tcPr>
                  <w:tcW w:w="1589" w:type="pct"/>
                  <w:noWrap w:val="0"/>
                  <w:vAlign w:val="center"/>
                </w:tcPr>
                <w:p w14:paraId="31D0E8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i/>
                      <w:iCs/>
                      <w:color w:val="auto"/>
                      <w:spacing w:val="-1"/>
                      <w:kern w:val="0"/>
                      <w:sz w:val="18"/>
                      <w:szCs w:val="18"/>
                      <w:highlight w:val="none"/>
                    </w:rPr>
                    <w:t>Phellodendronamurense</w:t>
                  </w:r>
                </w:p>
              </w:tc>
              <w:tc>
                <w:tcPr>
                  <w:tcW w:w="849" w:type="pct"/>
                  <w:noWrap w:val="0"/>
                  <w:vAlign w:val="center"/>
                </w:tcPr>
                <w:p w14:paraId="1B7C8C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芸香科</w:t>
                  </w:r>
                </w:p>
              </w:tc>
              <w:tc>
                <w:tcPr>
                  <w:tcW w:w="709" w:type="pct"/>
                  <w:noWrap w:val="0"/>
                  <w:vAlign w:val="center"/>
                </w:tcPr>
                <w:p w14:paraId="67D4FA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2"/>
                      <w:kern w:val="0"/>
                      <w:sz w:val="18"/>
                      <w:szCs w:val="18"/>
                      <w:highlight w:val="none"/>
                    </w:rPr>
                    <w:t>渐危、II</w:t>
                  </w:r>
                </w:p>
              </w:tc>
              <w:tc>
                <w:tcPr>
                  <w:tcW w:w="425" w:type="pct"/>
                  <w:tcBorders>
                    <w:right w:val="nil"/>
                  </w:tcBorders>
                  <w:noWrap w:val="0"/>
                  <w:vAlign w:val="center"/>
                </w:tcPr>
                <w:p w14:paraId="07745A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0"/>
                      <w:kern w:val="0"/>
                      <w:sz w:val="18"/>
                      <w:szCs w:val="18"/>
                      <w:highlight w:val="none"/>
                    </w:rPr>
                    <w:t>1、2</w:t>
                  </w:r>
                </w:p>
              </w:tc>
            </w:tr>
            <w:tr w14:paraId="2A2156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3" w:hRule="atLeast"/>
              </w:trPr>
              <w:tc>
                <w:tcPr>
                  <w:tcW w:w="437" w:type="pct"/>
                  <w:tcBorders>
                    <w:left w:val="nil"/>
                  </w:tcBorders>
                  <w:noWrap w:val="0"/>
                  <w:vAlign w:val="center"/>
                </w:tcPr>
                <w:p w14:paraId="69C0B0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w:t>
                  </w:r>
                </w:p>
              </w:tc>
              <w:tc>
                <w:tcPr>
                  <w:tcW w:w="993" w:type="pct"/>
                  <w:noWrap w:val="0"/>
                  <w:vAlign w:val="center"/>
                </w:tcPr>
                <w:p w14:paraId="4523C7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紫椴</w:t>
                  </w:r>
                </w:p>
              </w:tc>
              <w:tc>
                <w:tcPr>
                  <w:tcW w:w="1589" w:type="pct"/>
                  <w:noWrap w:val="0"/>
                  <w:vAlign w:val="center"/>
                </w:tcPr>
                <w:p w14:paraId="25D870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i/>
                      <w:iCs/>
                      <w:color w:val="auto"/>
                      <w:spacing w:val="-3"/>
                      <w:kern w:val="0"/>
                      <w:sz w:val="18"/>
                      <w:szCs w:val="18"/>
                      <w:highlight w:val="none"/>
                    </w:rPr>
                    <w:t>Tiliaamurensis</w:t>
                  </w:r>
                </w:p>
              </w:tc>
              <w:tc>
                <w:tcPr>
                  <w:tcW w:w="849" w:type="pct"/>
                  <w:noWrap w:val="0"/>
                  <w:vAlign w:val="center"/>
                </w:tcPr>
                <w:p w14:paraId="5CCE84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椴木科</w:t>
                  </w:r>
                </w:p>
              </w:tc>
              <w:tc>
                <w:tcPr>
                  <w:tcW w:w="709" w:type="pct"/>
                  <w:noWrap w:val="0"/>
                  <w:vAlign w:val="center"/>
                </w:tcPr>
                <w:p w14:paraId="0E8687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II</w:t>
                  </w:r>
                </w:p>
              </w:tc>
              <w:tc>
                <w:tcPr>
                  <w:tcW w:w="425" w:type="pct"/>
                  <w:tcBorders>
                    <w:right w:val="nil"/>
                  </w:tcBorders>
                  <w:noWrap w:val="0"/>
                  <w:vAlign w:val="center"/>
                </w:tcPr>
                <w:p w14:paraId="485A41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w:t>
                  </w:r>
                </w:p>
              </w:tc>
            </w:tr>
            <w:tr w14:paraId="4CC423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1" w:hRule="atLeast"/>
              </w:trPr>
              <w:tc>
                <w:tcPr>
                  <w:tcW w:w="437" w:type="pct"/>
                  <w:tcBorders>
                    <w:left w:val="nil"/>
                  </w:tcBorders>
                  <w:noWrap w:val="0"/>
                  <w:vAlign w:val="center"/>
                </w:tcPr>
                <w:p w14:paraId="2AD123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w:t>
                  </w:r>
                </w:p>
              </w:tc>
              <w:tc>
                <w:tcPr>
                  <w:tcW w:w="993" w:type="pct"/>
                  <w:noWrap w:val="0"/>
                  <w:vAlign w:val="center"/>
                </w:tcPr>
                <w:p w14:paraId="70F654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野大豆</w:t>
                  </w:r>
                </w:p>
              </w:tc>
              <w:tc>
                <w:tcPr>
                  <w:tcW w:w="1589" w:type="pct"/>
                  <w:noWrap w:val="0"/>
                  <w:vAlign w:val="center"/>
                </w:tcPr>
                <w:p w14:paraId="7FB2C1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i/>
                      <w:iCs/>
                      <w:color w:val="auto"/>
                      <w:spacing w:val="-1"/>
                      <w:kern w:val="0"/>
                      <w:sz w:val="18"/>
                      <w:szCs w:val="18"/>
                      <w:highlight w:val="none"/>
                    </w:rPr>
                    <w:t>Glycinesoja</w:t>
                  </w:r>
                </w:p>
              </w:tc>
              <w:tc>
                <w:tcPr>
                  <w:tcW w:w="849" w:type="pct"/>
                  <w:noWrap w:val="0"/>
                  <w:vAlign w:val="center"/>
                </w:tcPr>
                <w:p w14:paraId="6B6B1B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豆科</w:t>
                  </w:r>
                </w:p>
              </w:tc>
              <w:tc>
                <w:tcPr>
                  <w:tcW w:w="709" w:type="pct"/>
                  <w:noWrap w:val="0"/>
                  <w:vAlign w:val="center"/>
                </w:tcPr>
                <w:p w14:paraId="3865E3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2"/>
                      <w:kern w:val="0"/>
                      <w:sz w:val="18"/>
                      <w:szCs w:val="18"/>
                      <w:highlight w:val="none"/>
                    </w:rPr>
                    <w:t>渐危、II</w:t>
                  </w:r>
                </w:p>
              </w:tc>
              <w:tc>
                <w:tcPr>
                  <w:tcW w:w="425" w:type="pct"/>
                  <w:tcBorders>
                    <w:right w:val="nil"/>
                  </w:tcBorders>
                  <w:noWrap w:val="0"/>
                  <w:vAlign w:val="center"/>
                </w:tcPr>
                <w:p w14:paraId="1F5257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0"/>
                      <w:kern w:val="0"/>
                      <w:sz w:val="18"/>
                      <w:szCs w:val="18"/>
                      <w:highlight w:val="none"/>
                    </w:rPr>
                    <w:t>1、2</w:t>
                  </w:r>
                </w:p>
              </w:tc>
            </w:tr>
            <w:tr w14:paraId="3ACC2C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7" w:hRule="atLeast"/>
              </w:trPr>
              <w:tc>
                <w:tcPr>
                  <w:tcW w:w="437" w:type="pct"/>
                  <w:tcBorders>
                    <w:left w:val="nil"/>
                    <w:bottom w:val="single" w:color="auto" w:sz="12" w:space="0"/>
                  </w:tcBorders>
                  <w:noWrap w:val="0"/>
                  <w:vAlign w:val="center"/>
                </w:tcPr>
                <w:p w14:paraId="4C379C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6</w:t>
                  </w:r>
                </w:p>
              </w:tc>
              <w:tc>
                <w:tcPr>
                  <w:tcW w:w="993" w:type="pct"/>
                  <w:tcBorders>
                    <w:bottom w:val="single" w:color="auto" w:sz="12" w:space="0"/>
                  </w:tcBorders>
                  <w:noWrap w:val="0"/>
                  <w:vAlign w:val="center"/>
                </w:tcPr>
                <w:p w14:paraId="52C677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莲</w:t>
                  </w:r>
                </w:p>
              </w:tc>
              <w:tc>
                <w:tcPr>
                  <w:tcW w:w="1589" w:type="pct"/>
                  <w:tcBorders>
                    <w:bottom w:val="single" w:color="auto" w:sz="12" w:space="0"/>
                  </w:tcBorders>
                  <w:noWrap w:val="0"/>
                  <w:vAlign w:val="center"/>
                </w:tcPr>
                <w:p w14:paraId="4423FE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i/>
                      <w:iCs/>
                      <w:color w:val="auto"/>
                      <w:kern w:val="0"/>
                      <w:sz w:val="18"/>
                      <w:szCs w:val="18"/>
                      <w:highlight w:val="none"/>
                    </w:rPr>
                    <w:t>Nelumbonucifera</w:t>
                  </w:r>
                </w:p>
              </w:tc>
              <w:tc>
                <w:tcPr>
                  <w:tcW w:w="849" w:type="pct"/>
                  <w:tcBorders>
                    <w:bottom w:val="single" w:color="auto" w:sz="12" w:space="0"/>
                  </w:tcBorders>
                  <w:noWrap w:val="0"/>
                  <w:vAlign w:val="center"/>
                </w:tcPr>
                <w:p w14:paraId="2CA21F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4"/>
                      <w:kern w:val="0"/>
                      <w:sz w:val="18"/>
                      <w:szCs w:val="18"/>
                      <w:highlight w:val="none"/>
                    </w:rPr>
                    <w:t>睡莲科</w:t>
                  </w:r>
                </w:p>
              </w:tc>
              <w:tc>
                <w:tcPr>
                  <w:tcW w:w="709" w:type="pct"/>
                  <w:tcBorders>
                    <w:bottom w:val="single" w:color="auto" w:sz="12" w:space="0"/>
                  </w:tcBorders>
                  <w:noWrap w:val="0"/>
                  <w:vAlign w:val="center"/>
                </w:tcPr>
                <w:p w14:paraId="243724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II</w:t>
                  </w:r>
                </w:p>
              </w:tc>
              <w:tc>
                <w:tcPr>
                  <w:tcW w:w="425" w:type="pct"/>
                  <w:tcBorders>
                    <w:bottom w:val="single" w:color="auto" w:sz="12" w:space="0"/>
                    <w:right w:val="nil"/>
                  </w:tcBorders>
                  <w:noWrap w:val="0"/>
                  <w:vAlign w:val="center"/>
                </w:tcPr>
                <w:p w14:paraId="2A50E7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w:t>
                  </w:r>
                </w:p>
              </w:tc>
            </w:tr>
          </w:tbl>
          <w:p w14:paraId="03B7745A">
            <w:pPr>
              <w:keepNext w:val="0"/>
              <w:keepLines w:val="0"/>
              <w:pageBreakBefore w:val="0"/>
              <w:widowControl w:val="0"/>
              <w:kinsoku/>
              <w:wordWrap/>
              <w:overflowPunct/>
              <w:topLinePunct w:val="0"/>
              <w:autoSpaceDE/>
              <w:autoSpaceDN/>
              <w:bidi w:val="0"/>
              <w:adjustRightInd/>
              <w:snapToGrid/>
              <w:ind w:firstLine="567"/>
              <w:textAlignment w:val="auto"/>
              <w:rPr>
                <w:color w:val="auto"/>
                <w:szCs w:val="21"/>
                <w:highlight w:val="none"/>
              </w:rPr>
            </w:pPr>
            <w:r>
              <w:rPr>
                <w:color w:val="auto"/>
                <w:spacing w:val="-10"/>
                <w:highlight w:val="none"/>
              </w:rPr>
              <w:t>1、《中国珍稀濒危植物名录》；2、《国家重点保护野生植物名录》</w:t>
            </w:r>
          </w:p>
          <w:p w14:paraId="01DE6C78">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（2）植被类型</w:t>
            </w:r>
          </w:p>
          <w:p w14:paraId="46C8B008">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根据《中国植被》（吴征镒等1980年），《中国小兴安岭植被》（周以良等，1994），《中国湿地植被》（郎惠卿等1999）的分类原则，结合三江平原湿地植被的特点，略有不同，分类的依据是植物组成，以优势种（共优种）或建群种（共建种）作为划分标准，高级分类单位则依据群落的外貌或生态地理特征。</w:t>
            </w:r>
          </w:p>
          <w:p w14:paraId="44D5E3AF">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植被分类的单位和系统：根据饶河东北黑蜂保护区湿地植被常形成单优或共优群落，且种类组成相对较简单等特点，采用植被型、植被亚型、群系组、群系、群丛五级分类单位，其中以植被型（高级分类单位）、群系（中级分类单位）和群丛（基本单位）为主要的分类单位，饶河东北黑蜂保护区湿地植被可划分为5个植被型，9个植被亚型，28个群系组，37个群系，57个群丛。</w:t>
            </w:r>
          </w:p>
          <w:p w14:paraId="175B906B">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ascii="Times New Roman" w:hAnsi="Times New Roman" w:eastAsia="黑体" w:cs="Times New Roman"/>
                <w:color w:val="auto"/>
                <w:kern w:val="0"/>
                <w:sz w:val="21"/>
                <w:szCs w:val="20"/>
                <w:highlight w:val="none"/>
                <w:lang w:val="en-US" w:eastAsia="zh-CN" w:bidi="ar-SA"/>
              </w:rPr>
            </w:pPr>
            <w:r>
              <w:rPr>
                <w:rFonts w:ascii="Times New Roman" w:hAnsi="Times New Roman" w:eastAsia="黑体" w:cs="Times New Roman"/>
                <w:color w:val="auto"/>
                <w:kern w:val="0"/>
                <w:sz w:val="21"/>
                <w:szCs w:val="20"/>
                <w:highlight w:val="none"/>
                <w:lang w:val="en-US" w:eastAsia="zh-CN" w:bidi="ar-SA"/>
              </w:rPr>
              <w:t>表3-</w:t>
            </w:r>
            <w:r>
              <w:rPr>
                <w:rFonts w:hint="eastAsia" w:ascii="Times New Roman" w:hAnsi="Times New Roman" w:eastAsia="黑体" w:cs="Times New Roman"/>
                <w:color w:val="auto"/>
                <w:kern w:val="0"/>
                <w:sz w:val="21"/>
                <w:szCs w:val="20"/>
                <w:highlight w:val="none"/>
                <w:lang w:val="en-US" w:eastAsia="zh-CN" w:bidi="ar-SA"/>
              </w:rPr>
              <w:t>4</w:t>
            </w:r>
            <w:r>
              <w:rPr>
                <w:rFonts w:ascii="Times New Roman" w:hAnsi="Times New Roman" w:eastAsia="黑体" w:cs="Times New Roman"/>
                <w:color w:val="auto"/>
                <w:kern w:val="0"/>
                <w:sz w:val="21"/>
                <w:szCs w:val="20"/>
                <w:highlight w:val="none"/>
                <w:lang w:val="en-US" w:eastAsia="zh-CN" w:bidi="ar-SA"/>
              </w:rPr>
              <w:t>饶河东北黑蜂保护区植被类型简表</w:t>
            </w:r>
          </w:p>
          <w:p w14:paraId="088FD476">
            <w:pPr>
              <w:spacing w:line="20" w:lineRule="exact"/>
              <w:rPr>
                <w:highlight w:val="none"/>
              </w:rPr>
            </w:pPr>
          </w:p>
          <w:tbl>
            <w:tblPr>
              <w:tblStyle w:val="26"/>
              <w:tblW w:w="505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851"/>
              <w:gridCol w:w="970"/>
              <w:gridCol w:w="1821"/>
              <w:gridCol w:w="3031"/>
            </w:tblGrid>
            <w:tr w14:paraId="453A3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74" w:type="pct"/>
                  <w:noWrap w:val="0"/>
                  <w:vAlign w:val="center"/>
                </w:tcPr>
                <w:p w14:paraId="17E91B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植被型</w:t>
                  </w:r>
                </w:p>
              </w:tc>
              <w:tc>
                <w:tcPr>
                  <w:tcW w:w="577" w:type="pct"/>
                  <w:noWrap w:val="0"/>
                  <w:vAlign w:val="center"/>
                </w:tcPr>
                <w:p w14:paraId="427AF7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position w:val="6"/>
                      <w:sz w:val="18"/>
                      <w:szCs w:val="18"/>
                      <w:highlight w:val="none"/>
                    </w:rPr>
                    <w:t>植被</w:t>
                  </w:r>
                </w:p>
                <w:p w14:paraId="401208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亚型</w:t>
                  </w:r>
                </w:p>
              </w:tc>
              <w:tc>
                <w:tcPr>
                  <w:tcW w:w="658" w:type="pct"/>
                  <w:noWrap w:val="0"/>
                  <w:vAlign w:val="center"/>
                </w:tcPr>
                <w:p w14:paraId="3F95F1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群系组</w:t>
                  </w:r>
                </w:p>
              </w:tc>
              <w:tc>
                <w:tcPr>
                  <w:tcW w:w="1235" w:type="pct"/>
                  <w:noWrap w:val="0"/>
                  <w:vAlign w:val="center"/>
                </w:tcPr>
                <w:p w14:paraId="0E9936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4"/>
                      <w:kern w:val="0"/>
                      <w:sz w:val="18"/>
                      <w:szCs w:val="18"/>
                      <w:highlight w:val="none"/>
                    </w:rPr>
                    <w:t>群系</w:t>
                  </w:r>
                </w:p>
              </w:tc>
              <w:tc>
                <w:tcPr>
                  <w:tcW w:w="2056" w:type="pct"/>
                  <w:noWrap w:val="0"/>
                  <w:vAlign w:val="center"/>
                </w:tcPr>
                <w:p w14:paraId="476B12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4"/>
                      <w:kern w:val="0"/>
                      <w:sz w:val="18"/>
                      <w:szCs w:val="18"/>
                      <w:highlight w:val="none"/>
                    </w:rPr>
                    <w:t>群丛</w:t>
                  </w:r>
                </w:p>
              </w:tc>
            </w:tr>
            <w:tr w14:paraId="24974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74" w:type="pct"/>
                  <w:vMerge w:val="restart"/>
                  <w:noWrap w:val="0"/>
                  <w:vAlign w:val="center"/>
                </w:tcPr>
                <w:p w14:paraId="402CBE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森林</w:t>
                  </w:r>
                </w:p>
              </w:tc>
              <w:tc>
                <w:tcPr>
                  <w:tcW w:w="577" w:type="pct"/>
                  <w:vMerge w:val="restart"/>
                  <w:noWrap w:val="0"/>
                  <w:vAlign w:val="center"/>
                </w:tcPr>
                <w:p w14:paraId="7D5F33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阔叶林</w:t>
                  </w:r>
                </w:p>
              </w:tc>
              <w:tc>
                <w:tcPr>
                  <w:tcW w:w="658" w:type="pct"/>
                  <w:vMerge w:val="restart"/>
                  <w:noWrap w:val="0"/>
                  <w:vAlign w:val="center"/>
                </w:tcPr>
                <w:p w14:paraId="6D5074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桦木林</w:t>
                  </w:r>
                </w:p>
              </w:tc>
              <w:tc>
                <w:tcPr>
                  <w:tcW w:w="1235" w:type="pct"/>
                  <w:vMerge w:val="restart"/>
                  <w:noWrap w:val="0"/>
                  <w:vAlign w:val="center"/>
                </w:tcPr>
                <w:p w14:paraId="4BEF30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8"/>
                      <w:kern w:val="0"/>
                      <w:sz w:val="18"/>
                      <w:szCs w:val="18"/>
                      <w:highlight w:val="none"/>
                    </w:rPr>
                    <w:t>白桦林</w:t>
                  </w:r>
                </w:p>
              </w:tc>
              <w:tc>
                <w:tcPr>
                  <w:tcW w:w="2056" w:type="pct"/>
                  <w:noWrap w:val="0"/>
                  <w:vAlign w:val="center"/>
                </w:tcPr>
                <w:p w14:paraId="47F3B6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1.小叶樟、柳叶绣线菊、白桦林</w:t>
                  </w:r>
                </w:p>
              </w:tc>
            </w:tr>
            <w:tr w14:paraId="4A7B2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74" w:type="pct"/>
                  <w:vMerge w:val="continue"/>
                  <w:noWrap w:val="0"/>
                  <w:vAlign w:val="center"/>
                </w:tcPr>
                <w:p w14:paraId="6EB09B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7FF9A7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EE532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3C1653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442F04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2.修氏苔草、丛桦林、白桦林</w:t>
                  </w:r>
                </w:p>
              </w:tc>
            </w:tr>
            <w:tr w14:paraId="459B3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74" w:type="pct"/>
                  <w:vMerge w:val="continue"/>
                  <w:noWrap w:val="0"/>
                  <w:vAlign w:val="center"/>
                </w:tcPr>
                <w:p w14:paraId="18BB53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E5DE3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0586AD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杨树林</w:t>
                  </w:r>
                </w:p>
              </w:tc>
              <w:tc>
                <w:tcPr>
                  <w:tcW w:w="1235" w:type="pct"/>
                  <w:noWrap w:val="0"/>
                  <w:vAlign w:val="center"/>
                </w:tcPr>
                <w:p w14:paraId="4893E7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6"/>
                      <w:kern w:val="0"/>
                      <w:sz w:val="18"/>
                      <w:szCs w:val="18"/>
                      <w:highlight w:val="none"/>
                    </w:rPr>
                    <w:t>山杨林</w:t>
                  </w:r>
                </w:p>
              </w:tc>
              <w:tc>
                <w:tcPr>
                  <w:tcW w:w="2056" w:type="pct"/>
                  <w:noWrap w:val="0"/>
                  <w:vAlign w:val="center"/>
                </w:tcPr>
                <w:p w14:paraId="02D878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3.乌苏里苔草、毛榛子、山杨林</w:t>
                  </w:r>
                </w:p>
              </w:tc>
            </w:tr>
            <w:tr w14:paraId="30303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474" w:type="pct"/>
                  <w:vMerge w:val="continue"/>
                  <w:noWrap w:val="0"/>
                  <w:vAlign w:val="center"/>
                </w:tcPr>
                <w:p w14:paraId="6F5BFC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44D760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1A6D9C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杨桦林</w:t>
                  </w:r>
                </w:p>
              </w:tc>
              <w:tc>
                <w:tcPr>
                  <w:tcW w:w="1235" w:type="pct"/>
                  <w:noWrap w:val="0"/>
                  <w:vAlign w:val="center"/>
                </w:tcPr>
                <w:p w14:paraId="151472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4"/>
                      <w:kern w:val="0"/>
                      <w:sz w:val="18"/>
                      <w:szCs w:val="18"/>
                      <w:highlight w:val="none"/>
                    </w:rPr>
                    <w:t>山杨、白桦林</w:t>
                  </w:r>
                </w:p>
              </w:tc>
              <w:tc>
                <w:tcPr>
                  <w:tcW w:w="2056" w:type="pct"/>
                  <w:noWrap w:val="0"/>
                  <w:vAlign w:val="center"/>
                </w:tcPr>
                <w:p w14:paraId="00CE5C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4.凸脉苔草、毛榛子、山杨、白桦林</w:t>
                  </w:r>
                </w:p>
              </w:tc>
            </w:tr>
            <w:tr w14:paraId="0C07C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continue"/>
                  <w:noWrap w:val="0"/>
                  <w:vAlign w:val="center"/>
                </w:tcPr>
                <w:p w14:paraId="2377CB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p>
              </w:tc>
              <w:tc>
                <w:tcPr>
                  <w:tcW w:w="577" w:type="pct"/>
                  <w:vMerge w:val="continue"/>
                  <w:noWrap w:val="0"/>
                  <w:vAlign w:val="center"/>
                </w:tcPr>
                <w:p w14:paraId="3FC5D9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p>
              </w:tc>
              <w:tc>
                <w:tcPr>
                  <w:tcW w:w="658" w:type="pct"/>
                  <w:noWrap w:val="0"/>
                  <w:vAlign w:val="center"/>
                </w:tcPr>
                <w:p w14:paraId="51891B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栎树林</w:t>
                  </w:r>
                </w:p>
              </w:tc>
              <w:tc>
                <w:tcPr>
                  <w:tcW w:w="1235" w:type="pct"/>
                  <w:noWrap w:val="0"/>
                  <w:vAlign w:val="center"/>
                </w:tcPr>
                <w:p w14:paraId="1EC58A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蒙古栎林</w:t>
                  </w:r>
                </w:p>
              </w:tc>
              <w:tc>
                <w:tcPr>
                  <w:tcW w:w="2056" w:type="pct"/>
                  <w:noWrap w:val="0"/>
                  <w:vAlign w:val="center"/>
                </w:tcPr>
                <w:p w14:paraId="7B0CAB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5.凸脉苔草、榛子、蒙古栎林</w:t>
                  </w:r>
                </w:p>
              </w:tc>
            </w:tr>
            <w:tr w14:paraId="3614B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74" w:type="pct"/>
                  <w:vMerge w:val="continue"/>
                  <w:noWrap w:val="0"/>
                  <w:vAlign w:val="center"/>
                </w:tcPr>
                <w:p w14:paraId="16135A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p>
              </w:tc>
              <w:tc>
                <w:tcPr>
                  <w:tcW w:w="577" w:type="pct"/>
                  <w:vMerge w:val="continue"/>
                  <w:noWrap w:val="0"/>
                  <w:vAlign w:val="center"/>
                </w:tcPr>
                <w:p w14:paraId="086088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p>
              </w:tc>
              <w:tc>
                <w:tcPr>
                  <w:tcW w:w="658" w:type="pct"/>
                  <w:noWrap w:val="0"/>
                  <w:vAlign w:val="center"/>
                </w:tcPr>
                <w:p w14:paraId="716DB8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白蜡树、核桃林</w:t>
                  </w:r>
                </w:p>
              </w:tc>
              <w:tc>
                <w:tcPr>
                  <w:tcW w:w="1235" w:type="pct"/>
                  <w:noWrap w:val="0"/>
                  <w:vAlign w:val="center"/>
                </w:tcPr>
                <w:p w14:paraId="381BE8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水曲柳、胡桃楸林</w:t>
                  </w:r>
                </w:p>
              </w:tc>
              <w:tc>
                <w:tcPr>
                  <w:tcW w:w="2056" w:type="pct"/>
                  <w:noWrap w:val="0"/>
                  <w:vAlign w:val="center"/>
                </w:tcPr>
                <w:p w14:paraId="2479BC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6.大叶樟、榛子、水曲柳、胡桃楸林</w:t>
                  </w:r>
                </w:p>
              </w:tc>
            </w:tr>
            <w:tr w14:paraId="6E96B7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434BA3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p>
              </w:tc>
              <w:tc>
                <w:tcPr>
                  <w:tcW w:w="577" w:type="pct"/>
                  <w:vMerge w:val="continue"/>
                  <w:noWrap w:val="0"/>
                  <w:vAlign w:val="center"/>
                </w:tcPr>
                <w:p w14:paraId="1DCAEA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p>
              </w:tc>
              <w:tc>
                <w:tcPr>
                  <w:tcW w:w="658" w:type="pct"/>
                  <w:noWrap w:val="0"/>
                  <w:vAlign w:val="center"/>
                </w:tcPr>
                <w:p w14:paraId="0EF956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槭椴树林</w:t>
                  </w:r>
                </w:p>
              </w:tc>
              <w:tc>
                <w:tcPr>
                  <w:tcW w:w="1235" w:type="pct"/>
                  <w:noWrap w:val="0"/>
                  <w:vAlign w:val="center"/>
                </w:tcPr>
                <w:p w14:paraId="34A7BC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色木槭、紫椴林</w:t>
                  </w:r>
                </w:p>
              </w:tc>
              <w:tc>
                <w:tcPr>
                  <w:tcW w:w="2056" w:type="pct"/>
                  <w:noWrap w:val="0"/>
                  <w:vAlign w:val="center"/>
                </w:tcPr>
                <w:p w14:paraId="5C1E0F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5"/>
                      <w:kern w:val="0"/>
                      <w:sz w:val="18"/>
                      <w:szCs w:val="18"/>
                      <w:highlight w:val="none"/>
                    </w:rPr>
                    <w:t>7.乌苏里苔草、胡枝子、色木槭、</w:t>
                  </w:r>
                </w:p>
                <w:p w14:paraId="488E7B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5"/>
                      <w:kern w:val="0"/>
                      <w:sz w:val="18"/>
                      <w:szCs w:val="18"/>
                      <w:highlight w:val="none"/>
                    </w:rPr>
                    <w:t>紫椴木</w:t>
                  </w:r>
                </w:p>
              </w:tc>
            </w:tr>
            <w:tr w14:paraId="254F6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restart"/>
                  <w:noWrap w:val="0"/>
                  <w:vAlign w:val="center"/>
                </w:tcPr>
                <w:p w14:paraId="04D345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灌丛</w:t>
                  </w:r>
                </w:p>
              </w:tc>
              <w:tc>
                <w:tcPr>
                  <w:tcW w:w="577" w:type="pct"/>
                  <w:vMerge w:val="restart"/>
                  <w:noWrap w:val="0"/>
                  <w:vAlign w:val="center"/>
                </w:tcPr>
                <w:p w14:paraId="03B83F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阔叶</w:t>
                  </w:r>
                </w:p>
                <w:p w14:paraId="56DD9E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灌丛</w:t>
                  </w:r>
                </w:p>
              </w:tc>
              <w:tc>
                <w:tcPr>
                  <w:tcW w:w="658" w:type="pct"/>
                  <w:noWrap w:val="0"/>
                  <w:vAlign w:val="center"/>
                </w:tcPr>
                <w:p w14:paraId="4F583D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赤杨灌丛</w:t>
                  </w:r>
                </w:p>
              </w:tc>
              <w:tc>
                <w:tcPr>
                  <w:tcW w:w="1235" w:type="pct"/>
                  <w:noWrap w:val="0"/>
                  <w:vAlign w:val="center"/>
                </w:tcPr>
                <w:p w14:paraId="0CF67C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毛赤杨灌丛</w:t>
                  </w:r>
                </w:p>
              </w:tc>
              <w:tc>
                <w:tcPr>
                  <w:tcW w:w="2056" w:type="pct"/>
                  <w:noWrap w:val="0"/>
                  <w:vAlign w:val="center"/>
                </w:tcPr>
                <w:p w14:paraId="6DDB77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r>
                    <w:rPr>
                      <w:color w:val="auto"/>
                      <w:spacing w:val="-1"/>
                      <w:kern w:val="0"/>
                      <w:sz w:val="18"/>
                      <w:szCs w:val="18"/>
                      <w:highlight w:val="none"/>
                    </w:rPr>
                    <w:t>8.修氏苔草、丛桦、毛赤杨灌丛</w:t>
                  </w:r>
                </w:p>
              </w:tc>
            </w:tr>
            <w:tr w14:paraId="4392C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5094DA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30D910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64ED6B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柳灌丛</w:t>
                  </w:r>
                </w:p>
              </w:tc>
              <w:tc>
                <w:tcPr>
                  <w:tcW w:w="1235" w:type="pct"/>
                  <w:noWrap w:val="0"/>
                  <w:vAlign w:val="center"/>
                </w:tcPr>
                <w:p w14:paraId="42BECB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柳灌丛</w:t>
                  </w:r>
                </w:p>
              </w:tc>
              <w:tc>
                <w:tcPr>
                  <w:tcW w:w="2056" w:type="pct"/>
                  <w:noWrap w:val="0"/>
                  <w:vAlign w:val="center"/>
                </w:tcPr>
                <w:p w14:paraId="4C0491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r>
                    <w:rPr>
                      <w:color w:val="auto"/>
                      <w:spacing w:val="-1"/>
                      <w:kern w:val="0"/>
                      <w:sz w:val="18"/>
                      <w:szCs w:val="18"/>
                      <w:highlight w:val="none"/>
                    </w:rPr>
                    <w:t>9.小叶樟、柳叶绣线菊、柳灌丛</w:t>
                  </w:r>
                </w:p>
              </w:tc>
            </w:tr>
            <w:tr w14:paraId="3AC3C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510E71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3E9FBF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1CC432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榛灌丛</w:t>
                  </w:r>
                </w:p>
              </w:tc>
              <w:tc>
                <w:tcPr>
                  <w:tcW w:w="1235" w:type="pct"/>
                  <w:noWrap w:val="0"/>
                  <w:vAlign w:val="center"/>
                </w:tcPr>
                <w:p w14:paraId="6F7B58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榛子灌丛</w:t>
                  </w:r>
                </w:p>
              </w:tc>
              <w:tc>
                <w:tcPr>
                  <w:tcW w:w="2056" w:type="pct"/>
                  <w:noWrap w:val="0"/>
                  <w:vAlign w:val="center"/>
                </w:tcPr>
                <w:p w14:paraId="1F211B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Arial"/>
                      <w:color w:val="auto"/>
                      <w:kern w:val="0"/>
                      <w:sz w:val="18"/>
                      <w:szCs w:val="18"/>
                      <w:highlight w:val="none"/>
                    </w:rPr>
                  </w:pPr>
                  <w:r>
                    <w:rPr>
                      <w:color w:val="auto"/>
                      <w:kern w:val="0"/>
                      <w:sz w:val="18"/>
                      <w:szCs w:val="18"/>
                      <w:highlight w:val="none"/>
                    </w:rPr>
                    <w:t>10.凸叶苔草、榛子灌丛</w:t>
                  </w:r>
                </w:p>
              </w:tc>
            </w:tr>
            <w:tr w14:paraId="2952A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restart"/>
                  <w:noWrap w:val="0"/>
                  <w:vAlign w:val="center"/>
                </w:tcPr>
                <w:p w14:paraId="0BA49B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草甸</w:t>
                  </w:r>
                </w:p>
              </w:tc>
              <w:tc>
                <w:tcPr>
                  <w:tcW w:w="577" w:type="pct"/>
                  <w:vMerge w:val="restart"/>
                  <w:noWrap w:val="0"/>
                  <w:vAlign w:val="center"/>
                </w:tcPr>
                <w:p w14:paraId="716510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position w:val="6"/>
                      <w:sz w:val="18"/>
                      <w:szCs w:val="18"/>
                      <w:highlight w:val="none"/>
                    </w:rPr>
                    <w:t>典型</w:t>
                  </w:r>
                </w:p>
                <w:p w14:paraId="74A80A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草甸</w:t>
                  </w:r>
                </w:p>
              </w:tc>
              <w:tc>
                <w:tcPr>
                  <w:tcW w:w="658" w:type="pct"/>
                  <w:vMerge w:val="restart"/>
                  <w:noWrap w:val="0"/>
                  <w:vAlign w:val="center"/>
                </w:tcPr>
                <w:p w14:paraId="318540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野青茅草甸</w:t>
                  </w:r>
                </w:p>
              </w:tc>
              <w:tc>
                <w:tcPr>
                  <w:tcW w:w="1235" w:type="pct"/>
                  <w:vMerge w:val="restart"/>
                  <w:noWrap w:val="0"/>
                  <w:vAlign w:val="center"/>
                </w:tcPr>
                <w:p w14:paraId="175CBD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小叶樟草甸</w:t>
                  </w:r>
                </w:p>
              </w:tc>
              <w:tc>
                <w:tcPr>
                  <w:tcW w:w="2056" w:type="pct"/>
                  <w:noWrap w:val="0"/>
                  <w:vAlign w:val="center"/>
                </w:tcPr>
                <w:p w14:paraId="590D89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4"/>
                      <w:kern w:val="0"/>
                      <w:sz w:val="18"/>
                      <w:szCs w:val="18"/>
                      <w:highlight w:val="none"/>
                    </w:rPr>
                    <w:t>11.小叶樟草甸</w:t>
                  </w:r>
                </w:p>
              </w:tc>
            </w:tr>
            <w:tr w14:paraId="497A5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6D0181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53B24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429E5C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752FB9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417654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12.小叶樟、杂类草草甸</w:t>
                  </w:r>
                </w:p>
              </w:tc>
            </w:tr>
            <w:tr w14:paraId="46F72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74" w:type="pct"/>
                  <w:vMerge w:val="continue"/>
                  <w:noWrap w:val="0"/>
                  <w:vAlign w:val="center"/>
                </w:tcPr>
                <w:p w14:paraId="123556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38B266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restart"/>
                  <w:noWrap w:val="0"/>
                  <w:vAlign w:val="center"/>
                </w:tcPr>
                <w:p w14:paraId="1FC6B5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杂类草草甸</w:t>
                  </w:r>
                </w:p>
              </w:tc>
              <w:tc>
                <w:tcPr>
                  <w:tcW w:w="1235" w:type="pct"/>
                  <w:vMerge w:val="restart"/>
                  <w:noWrap w:val="0"/>
                  <w:vAlign w:val="center"/>
                </w:tcPr>
                <w:p w14:paraId="099D19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杂类草草甸</w:t>
                  </w:r>
                </w:p>
              </w:tc>
              <w:tc>
                <w:tcPr>
                  <w:tcW w:w="2056" w:type="pct"/>
                  <w:noWrap w:val="0"/>
                  <w:vAlign w:val="center"/>
                </w:tcPr>
                <w:p w14:paraId="6355F6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13.丛桦、杂类草草甸</w:t>
                  </w:r>
                </w:p>
              </w:tc>
            </w:tr>
            <w:tr w14:paraId="6DE7A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7D6617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593B65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6881F1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328D4A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1C5A66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14.杂类草草甸</w:t>
                  </w:r>
                </w:p>
              </w:tc>
            </w:tr>
            <w:tr w14:paraId="53065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6808EC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restart"/>
                  <w:noWrap w:val="0"/>
                  <w:vAlign w:val="center"/>
                </w:tcPr>
                <w:p w14:paraId="1359AE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沼泽化</w:t>
                  </w:r>
                  <w:r>
                    <w:rPr>
                      <w:color w:val="auto"/>
                      <w:kern w:val="0"/>
                      <w:sz w:val="18"/>
                      <w:szCs w:val="18"/>
                      <w:highlight w:val="none"/>
                    </w:rPr>
                    <w:t>草甸</w:t>
                  </w:r>
                </w:p>
              </w:tc>
              <w:tc>
                <w:tcPr>
                  <w:tcW w:w="658" w:type="pct"/>
                  <w:vMerge w:val="restart"/>
                  <w:noWrap w:val="0"/>
                  <w:vAlign w:val="center"/>
                </w:tcPr>
                <w:p w14:paraId="1D88CE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野青茅沼泽</w:t>
                  </w:r>
                  <w:r>
                    <w:rPr>
                      <w:color w:val="auto"/>
                      <w:kern w:val="0"/>
                      <w:sz w:val="18"/>
                      <w:szCs w:val="18"/>
                      <w:highlight w:val="none"/>
                    </w:rPr>
                    <w:t>化草甸</w:t>
                  </w:r>
                </w:p>
              </w:tc>
              <w:tc>
                <w:tcPr>
                  <w:tcW w:w="1235" w:type="pct"/>
                  <w:vMerge w:val="restart"/>
                  <w:noWrap w:val="0"/>
                  <w:vAlign w:val="center"/>
                </w:tcPr>
                <w:p w14:paraId="438BA0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小叶樟沼泽化草甸</w:t>
                  </w:r>
                </w:p>
              </w:tc>
              <w:tc>
                <w:tcPr>
                  <w:tcW w:w="2056" w:type="pct"/>
                  <w:noWrap w:val="0"/>
                  <w:vAlign w:val="center"/>
                </w:tcPr>
                <w:p w14:paraId="49D993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15.小叶樟、苔草沼泽化草甸</w:t>
                  </w:r>
                </w:p>
              </w:tc>
            </w:tr>
            <w:tr w14:paraId="5BBA4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74" w:type="pct"/>
                  <w:vMerge w:val="continue"/>
                  <w:noWrap w:val="0"/>
                  <w:vAlign w:val="center"/>
                </w:tcPr>
                <w:p w14:paraId="6BA2A3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59BA13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1CF09D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3F0ACA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616782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16.水冬瓜赤杨、丛桦、小叶樟沼泽化草</w:t>
                  </w:r>
                  <w:r>
                    <w:rPr>
                      <w:color w:val="auto"/>
                      <w:kern w:val="0"/>
                      <w:sz w:val="18"/>
                      <w:szCs w:val="18"/>
                      <w:highlight w:val="none"/>
                    </w:rPr>
                    <w:t>甸</w:t>
                  </w:r>
                </w:p>
              </w:tc>
            </w:tr>
            <w:tr w14:paraId="30D04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continue"/>
                  <w:noWrap w:val="0"/>
                  <w:vAlign w:val="center"/>
                </w:tcPr>
                <w:p w14:paraId="3162F7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017ED4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6CFCC5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058D7A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35E445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17.沼柳、小叶樟、修氏苔草沼泽化草甸</w:t>
                  </w:r>
                </w:p>
              </w:tc>
            </w:tr>
            <w:tr w14:paraId="31013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4C5D0C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558C7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1C599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524293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675E02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18.小叶樟、芦苇沼泽化草甸</w:t>
                  </w:r>
                </w:p>
              </w:tc>
            </w:tr>
            <w:tr w14:paraId="0833B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5B735D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57CDB4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106C8D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24663F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4F651E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19.小叶樟、湿地黄芪化草甸</w:t>
                  </w:r>
                </w:p>
              </w:tc>
            </w:tr>
            <w:tr w14:paraId="53A29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74" w:type="pct"/>
                  <w:vMerge w:val="continue"/>
                  <w:noWrap w:val="0"/>
                  <w:vAlign w:val="center"/>
                </w:tcPr>
                <w:p w14:paraId="2DD524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231939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7923DA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noWrap w:val="0"/>
                  <w:vAlign w:val="center"/>
                </w:tcPr>
                <w:p w14:paraId="37175C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忽略野青茅沼泽化草甸</w:t>
                  </w:r>
                </w:p>
              </w:tc>
              <w:tc>
                <w:tcPr>
                  <w:tcW w:w="2056" w:type="pct"/>
                  <w:noWrap w:val="0"/>
                  <w:vAlign w:val="center"/>
                </w:tcPr>
                <w:p w14:paraId="087D18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20.忽略野青茅沼泽化草甸</w:t>
                  </w:r>
                </w:p>
              </w:tc>
            </w:tr>
            <w:tr w14:paraId="3D28E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restart"/>
                  <w:noWrap w:val="0"/>
                  <w:vAlign w:val="center"/>
                </w:tcPr>
                <w:p w14:paraId="05772C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沼泽</w:t>
                  </w:r>
                </w:p>
              </w:tc>
              <w:tc>
                <w:tcPr>
                  <w:tcW w:w="577" w:type="pct"/>
                  <w:vMerge w:val="restart"/>
                  <w:noWrap w:val="0"/>
                  <w:vAlign w:val="center"/>
                </w:tcPr>
                <w:p w14:paraId="6595AB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position w:val="6"/>
                      <w:sz w:val="18"/>
                      <w:szCs w:val="18"/>
                      <w:highlight w:val="none"/>
                    </w:rPr>
                    <w:t>草本</w:t>
                  </w:r>
                </w:p>
                <w:p w14:paraId="5FA115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沼泽</w:t>
                  </w:r>
                </w:p>
              </w:tc>
              <w:tc>
                <w:tcPr>
                  <w:tcW w:w="658" w:type="pct"/>
                  <w:vMerge w:val="restart"/>
                  <w:noWrap w:val="0"/>
                  <w:vAlign w:val="center"/>
                </w:tcPr>
                <w:p w14:paraId="158EAF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苔草沼泽</w:t>
                  </w:r>
                </w:p>
              </w:tc>
              <w:tc>
                <w:tcPr>
                  <w:tcW w:w="1235" w:type="pct"/>
                  <w:vMerge w:val="restart"/>
                  <w:noWrap w:val="0"/>
                  <w:vAlign w:val="center"/>
                </w:tcPr>
                <w:p w14:paraId="21397D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毛果苔草沼泽</w:t>
                  </w:r>
                </w:p>
              </w:tc>
              <w:tc>
                <w:tcPr>
                  <w:tcW w:w="2056" w:type="pct"/>
                  <w:noWrap w:val="0"/>
                  <w:vAlign w:val="center"/>
                </w:tcPr>
                <w:p w14:paraId="095D73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21.毛果苔草沼泽</w:t>
                  </w:r>
                </w:p>
              </w:tc>
            </w:tr>
            <w:tr w14:paraId="0C2C5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74" w:type="pct"/>
                  <w:vMerge w:val="continue"/>
                  <w:noWrap w:val="0"/>
                  <w:vAlign w:val="center"/>
                </w:tcPr>
                <w:p w14:paraId="729155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0EEDFD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722F1D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652AC4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3F75E4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22.毛果苔草、芦苇苔草沼泽</w:t>
                  </w:r>
                </w:p>
              </w:tc>
            </w:tr>
            <w:tr w14:paraId="2FA105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continue"/>
                  <w:noWrap w:val="0"/>
                  <w:vAlign w:val="center"/>
                </w:tcPr>
                <w:p w14:paraId="2BBAE4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51748F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3C2023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5B2984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582CA2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23.毛果苔草、乌拉苔草沼泽</w:t>
                  </w:r>
                </w:p>
              </w:tc>
            </w:tr>
            <w:tr w14:paraId="468EA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1F21E3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7864A9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3F1F95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46E3B9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456D27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24.毛果苔草、漂伐苔草沼泽</w:t>
                  </w:r>
                </w:p>
              </w:tc>
            </w:tr>
            <w:tr w14:paraId="60B85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417099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AD5E6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624A1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restart"/>
                  <w:noWrap w:val="0"/>
                  <w:vAlign w:val="center"/>
                </w:tcPr>
                <w:p w14:paraId="441CAA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漂筏苔草沼泽</w:t>
                  </w:r>
                </w:p>
              </w:tc>
              <w:tc>
                <w:tcPr>
                  <w:tcW w:w="2056" w:type="pct"/>
                  <w:noWrap w:val="0"/>
                  <w:vAlign w:val="center"/>
                </w:tcPr>
                <w:p w14:paraId="2226A4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25.漂伐苔草沼泽</w:t>
                  </w:r>
                </w:p>
              </w:tc>
            </w:tr>
            <w:tr w14:paraId="0975C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2F28FA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E6ABB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05383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245149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5A382C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26.漂伐苔草、芦苇沼泽</w:t>
                  </w:r>
                </w:p>
              </w:tc>
            </w:tr>
            <w:tr w14:paraId="6487C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52475F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70AD9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288D77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69D664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7849FE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27.漂伐苔草、大叶樟沼泽</w:t>
                  </w:r>
                </w:p>
              </w:tc>
            </w:tr>
            <w:tr w14:paraId="7413F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290232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8D3A0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88445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638BBB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0DF556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28.漂伐苔草、水问荆沼泽</w:t>
                  </w:r>
                </w:p>
              </w:tc>
            </w:tr>
            <w:tr w14:paraId="13EE9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continue"/>
                  <w:noWrap w:val="0"/>
                  <w:vAlign w:val="center"/>
                </w:tcPr>
                <w:p w14:paraId="600553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033EA7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744564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restart"/>
                  <w:noWrap w:val="0"/>
                  <w:vAlign w:val="center"/>
                </w:tcPr>
                <w:p w14:paraId="5CEA00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灰脉苔草沼泽</w:t>
                  </w:r>
                </w:p>
              </w:tc>
              <w:tc>
                <w:tcPr>
                  <w:tcW w:w="2056" w:type="pct"/>
                  <w:noWrap w:val="0"/>
                  <w:vAlign w:val="center"/>
                </w:tcPr>
                <w:p w14:paraId="7CE2D9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29.灰脉苔草、小叶樟沼泽</w:t>
                  </w:r>
                </w:p>
              </w:tc>
            </w:tr>
            <w:tr w14:paraId="0D79F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73507E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98E09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09446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077EED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5D0F94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30.灰脉苔草、乌拉苔草沼泽</w:t>
                  </w:r>
                </w:p>
              </w:tc>
            </w:tr>
            <w:tr w14:paraId="51E84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211D23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443409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restart"/>
                  <w:noWrap w:val="0"/>
                  <w:vAlign w:val="center"/>
                </w:tcPr>
                <w:p w14:paraId="535B64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甜茅沼泽</w:t>
                  </w:r>
                </w:p>
              </w:tc>
              <w:tc>
                <w:tcPr>
                  <w:tcW w:w="1235" w:type="pct"/>
                  <w:vMerge w:val="restart"/>
                  <w:noWrap w:val="0"/>
                  <w:vAlign w:val="center"/>
                </w:tcPr>
                <w:p w14:paraId="393A79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狭叶甜茅沼泽</w:t>
                  </w:r>
                </w:p>
              </w:tc>
              <w:tc>
                <w:tcPr>
                  <w:tcW w:w="2056" w:type="pct"/>
                  <w:noWrap w:val="0"/>
                  <w:vAlign w:val="center"/>
                </w:tcPr>
                <w:p w14:paraId="5DAAF8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31.狭叶甜茅、漂伐苔草、小叶樟沼泽</w:t>
                  </w:r>
                </w:p>
              </w:tc>
            </w:tr>
            <w:tr w14:paraId="73DD1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782B57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41F896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606981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3BF49C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7BE453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32.狭叶甜茅、灰脉苔草、小叶樟沼泽</w:t>
                  </w:r>
                </w:p>
              </w:tc>
            </w:tr>
            <w:tr w14:paraId="79BEB8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74" w:type="pct"/>
                  <w:vMerge w:val="continue"/>
                  <w:noWrap w:val="0"/>
                  <w:vAlign w:val="center"/>
                </w:tcPr>
                <w:p w14:paraId="75F61B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49B695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E1523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55A3CA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48A7D5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33.芦苇沼泽</w:t>
                  </w:r>
                </w:p>
              </w:tc>
            </w:tr>
            <w:tr w14:paraId="37748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3EE3E3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41F95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restart"/>
                  <w:noWrap w:val="0"/>
                  <w:vAlign w:val="center"/>
                </w:tcPr>
                <w:p w14:paraId="624FB2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芦苇沼泽</w:t>
                  </w:r>
                </w:p>
              </w:tc>
              <w:tc>
                <w:tcPr>
                  <w:tcW w:w="1235" w:type="pct"/>
                  <w:vMerge w:val="restart"/>
                  <w:noWrap w:val="0"/>
                  <w:vAlign w:val="center"/>
                </w:tcPr>
                <w:p w14:paraId="117525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芦苇沼泽</w:t>
                  </w:r>
                </w:p>
              </w:tc>
              <w:tc>
                <w:tcPr>
                  <w:tcW w:w="2056" w:type="pct"/>
                  <w:noWrap w:val="0"/>
                  <w:vAlign w:val="center"/>
                </w:tcPr>
                <w:p w14:paraId="5DD74A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34.芦苇、小叶樟沼泽</w:t>
                  </w:r>
                </w:p>
              </w:tc>
            </w:tr>
            <w:tr w14:paraId="04F4B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continue"/>
                  <w:noWrap w:val="0"/>
                  <w:vAlign w:val="center"/>
                </w:tcPr>
                <w:p w14:paraId="17C812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704E04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7C6EC3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0A2DE7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671E65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35.芦苇、小叶樟、毛果苔草沼泽</w:t>
                  </w:r>
                </w:p>
              </w:tc>
            </w:tr>
            <w:tr w14:paraId="487613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02522A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10C8F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restart"/>
                  <w:noWrap w:val="0"/>
                  <w:vAlign w:val="center"/>
                </w:tcPr>
                <w:p w14:paraId="45C941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杂类草沼泽</w:t>
                  </w:r>
                </w:p>
              </w:tc>
              <w:tc>
                <w:tcPr>
                  <w:tcW w:w="1235" w:type="pct"/>
                  <w:noWrap w:val="0"/>
                  <w:vAlign w:val="center"/>
                </w:tcPr>
                <w:p w14:paraId="4F804B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水葱麓草沼泽</w:t>
                  </w:r>
                </w:p>
              </w:tc>
              <w:tc>
                <w:tcPr>
                  <w:tcW w:w="2056" w:type="pct"/>
                  <w:noWrap w:val="0"/>
                  <w:vAlign w:val="center"/>
                </w:tcPr>
                <w:p w14:paraId="11AFBF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36.水葱麓草沼泽</w:t>
                  </w:r>
                </w:p>
              </w:tc>
            </w:tr>
            <w:tr w14:paraId="680A0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3CAF72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C8491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64C6B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noWrap w:val="0"/>
                  <w:vAlign w:val="center"/>
                </w:tcPr>
                <w:p w14:paraId="2AA583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黑水莎草沼泽</w:t>
                  </w:r>
                </w:p>
              </w:tc>
              <w:tc>
                <w:tcPr>
                  <w:tcW w:w="2056" w:type="pct"/>
                  <w:noWrap w:val="0"/>
                  <w:vAlign w:val="center"/>
                </w:tcPr>
                <w:p w14:paraId="1F0312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37.黑水莎草沼泽</w:t>
                  </w:r>
                </w:p>
              </w:tc>
            </w:tr>
            <w:tr w14:paraId="4CA8DA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65AA7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A51A2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316F7D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noWrap w:val="0"/>
                  <w:vAlign w:val="center"/>
                </w:tcPr>
                <w:p w14:paraId="536903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择泻沼泽</w:t>
                  </w:r>
                </w:p>
              </w:tc>
              <w:tc>
                <w:tcPr>
                  <w:tcW w:w="2056" w:type="pct"/>
                  <w:noWrap w:val="0"/>
                  <w:vAlign w:val="center"/>
                </w:tcPr>
                <w:p w14:paraId="3BFDEA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38择泻沼泽</w:t>
                  </w:r>
                </w:p>
              </w:tc>
            </w:tr>
            <w:tr w14:paraId="593CF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098218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39A7F4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4C225B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noWrap w:val="0"/>
                  <w:vAlign w:val="center"/>
                </w:tcPr>
                <w:p w14:paraId="1F2E20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香蒲沼泽</w:t>
                  </w:r>
                </w:p>
              </w:tc>
              <w:tc>
                <w:tcPr>
                  <w:tcW w:w="2056" w:type="pct"/>
                  <w:noWrap w:val="0"/>
                  <w:vAlign w:val="center"/>
                </w:tcPr>
                <w:p w14:paraId="442B37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39.香蒲沼泽</w:t>
                  </w:r>
                </w:p>
              </w:tc>
            </w:tr>
            <w:tr w14:paraId="673F2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474" w:type="pct"/>
                  <w:vMerge w:val="continue"/>
                  <w:noWrap w:val="0"/>
                  <w:vAlign w:val="center"/>
                </w:tcPr>
                <w:p w14:paraId="745AA4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E7D39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594FB1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noWrap w:val="0"/>
                  <w:vAlign w:val="center"/>
                </w:tcPr>
                <w:p w14:paraId="6F1B78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菖蒲沼泽</w:t>
                  </w:r>
                </w:p>
              </w:tc>
              <w:tc>
                <w:tcPr>
                  <w:tcW w:w="2056" w:type="pct"/>
                  <w:noWrap w:val="0"/>
                  <w:vAlign w:val="center"/>
                </w:tcPr>
                <w:p w14:paraId="21B521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40.菖蒲沼泽</w:t>
                  </w:r>
                </w:p>
              </w:tc>
            </w:tr>
            <w:tr w14:paraId="1A0CC4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474" w:type="pct"/>
                  <w:vMerge w:val="continue"/>
                  <w:noWrap w:val="0"/>
                  <w:vAlign w:val="center"/>
                </w:tcPr>
                <w:p w14:paraId="15F3A1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2C0851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2238B5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noWrap w:val="0"/>
                  <w:vAlign w:val="center"/>
                </w:tcPr>
                <w:p w14:paraId="1F4C80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花籣沼泽</w:t>
                  </w:r>
                </w:p>
              </w:tc>
              <w:tc>
                <w:tcPr>
                  <w:tcW w:w="2056" w:type="pct"/>
                  <w:noWrap w:val="0"/>
                  <w:vAlign w:val="center"/>
                </w:tcPr>
                <w:p w14:paraId="517CDF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41.花籣沼泽</w:t>
                  </w:r>
                </w:p>
              </w:tc>
            </w:tr>
            <w:tr w14:paraId="54B53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restart"/>
                  <w:noWrap w:val="0"/>
                  <w:vAlign w:val="center"/>
                </w:tcPr>
                <w:p w14:paraId="1C29E9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水生植被（草塘</w:t>
                  </w:r>
                </w:p>
              </w:tc>
              <w:tc>
                <w:tcPr>
                  <w:tcW w:w="577" w:type="pct"/>
                  <w:vMerge w:val="restart"/>
                  <w:noWrap w:val="0"/>
                  <w:vAlign w:val="center"/>
                </w:tcPr>
                <w:p w14:paraId="16FD42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沉水型草塘</w:t>
                  </w:r>
                </w:p>
              </w:tc>
              <w:tc>
                <w:tcPr>
                  <w:tcW w:w="658" w:type="pct"/>
                  <w:noWrap w:val="0"/>
                  <w:vAlign w:val="center"/>
                </w:tcPr>
                <w:p w14:paraId="6A9D1A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毛茛草塘</w:t>
                  </w:r>
                </w:p>
              </w:tc>
              <w:tc>
                <w:tcPr>
                  <w:tcW w:w="1235" w:type="pct"/>
                  <w:noWrap w:val="0"/>
                  <w:vAlign w:val="center"/>
                </w:tcPr>
                <w:p w14:paraId="51AB6D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长叶水毛茛草塘</w:t>
                  </w:r>
                </w:p>
              </w:tc>
              <w:tc>
                <w:tcPr>
                  <w:tcW w:w="2056" w:type="pct"/>
                  <w:noWrap w:val="0"/>
                  <w:vAlign w:val="center"/>
                </w:tcPr>
                <w:p w14:paraId="226500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1"/>
                      <w:kern w:val="0"/>
                      <w:sz w:val="18"/>
                      <w:szCs w:val="18"/>
                      <w:highlight w:val="none"/>
                    </w:rPr>
                    <w:t>42.长叶水毛茛、衫叶藻草塘</w:t>
                  </w:r>
                </w:p>
              </w:tc>
            </w:tr>
            <w:tr w14:paraId="5174C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31F832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1C7A2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1BAA65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狸藻草塘</w:t>
                  </w:r>
                </w:p>
              </w:tc>
              <w:tc>
                <w:tcPr>
                  <w:tcW w:w="1235" w:type="pct"/>
                  <w:noWrap w:val="0"/>
                  <w:vAlign w:val="center"/>
                </w:tcPr>
                <w:p w14:paraId="2EBB90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细叶狸藻草塘</w:t>
                  </w:r>
                </w:p>
              </w:tc>
              <w:tc>
                <w:tcPr>
                  <w:tcW w:w="2056" w:type="pct"/>
                  <w:noWrap w:val="0"/>
                  <w:vAlign w:val="center"/>
                </w:tcPr>
                <w:p w14:paraId="242BFC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43.细叶狸藻、沼生水马齿草塘</w:t>
                  </w:r>
                </w:p>
              </w:tc>
            </w:tr>
            <w:tr w14:paraId="306EB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119E54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0E3C9D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445EA8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眼子菜草塘</w:t>
                  </w:r>
                </w:p>
              </w:tc>
              <w:tc>
                <w:tcPr>
                  <w:tcW w:w="1235" w:type="pct"/>
                  <w:noWrap w:val="0"/>
                  <w:vAlign w:val="center"/>
                </w:tcPr>
                <w:p w14:paraId="212819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龙须眼子菜草塘</w:t>
                  </w:r>
                </w:p>
              </w:tc>
              <w:tc>
                <w:tcPr>
                  <w:tcW w:w="2056" w:type="pct"/>
                  <w:noWrap w:val="0"/>
                  <w:vAlign w:val="center"/>
                </w:tcPr>
                <w:p w14:paraId="6E4BB3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44.穗状狐尾藻、龙须眼子菜草塘</w:t>
                  </w:r>
                </w:p>
              </w:tc>
            </w:tr>
            <w:tr w14:paraId="36DD1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5C845C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restart"/>
                  <w:noWrap w:val="0"/>
                  <w:vAlign w:val="center"/>
                </w:tcPr>
                <w:p w14:paraId="1B2219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3"/>
                      <w:kern w:val="0"/>
                      <w:sz w:val="18"/>
                      <w:szCs w:val="18"/>
                      <w:highlight w:val="none"/>
                    </w:rPr>
                    <w:t>浮叶型</w:t>
                  </w:r>
                  <w:r>
                    <w:rPr>
                      <w:color w:val="auto"/>
                      <w:spacing w:val="-2"/>
                      <w:kern w:val="0"/>
                      <w:sz w:val="18"/>
                      <w:szCs w:val="18"/>
                      <w:highlight w:val="none"/>
                    </w:rPr>
                    <w:t>草塘</w:t>
                  </w:r>
                </w:p>
              </w:tc>
              <w:tc>
                <w:tcPr>
                  <w:tcW w:w="658" w:type="pct"/>
                  <w:noWrap w:val="0"/>
                  <w:vAlign w:val="center"/>
                </w:tcPr>
                <w:p w14:paraId="27BA5F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菱草塘</w:t>
                  </w:r>
                </w:p>
              </w:tc>
              <w:tc>
                <w:tcPr>
                  <w:tcW w:w="1235" w:type="pct"/>
                  <w:noWrap w:val="0"/>
                  <w:vAlign w:val="center"/>
                </w:tcPr>
                <w:p w14:paraId="5322FF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耳菱草塘</w:t>
                  </w:r>
                </w:p>
              </w:tc>
              <w:tc>
                <w:tcPr>
                  <w:tcW w:w="2056" w:type="pct"/>
                  <w:noWrap w:val="0"/>
                  <w:vAlign w:val="center"/>
                </w:tcPr>
                <w:p w14:paraId="215667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45.耳菱、杏菜草塘</w:t>
                  </w:r>
                </w:p>
              </w:tc>
            </w:tr>
            <w:tr w14:paraId="2E4F9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68E904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07606E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restart"/>
                  <w:noWrap w:val="0"/>
                  <w:vAlign w:val="center"/>
                </w:tcPr>
                <w:p w14:paraId="58CE33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杏菜草塘</w:t>
                  </w:r>
                </w:p>
              </w:tc>
              <w:tc>
                <w:tcPr>
                  <w:tcW w:w="1235" w:type="pct"/>
                  <w:vMerge w:val="restart"/>
                  <w:noWrap w:val="0"/>
                  <w:vAlign w:val="center"/>
                </w:tcPr>
                <w:p w14:paraId="291EF9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杏菜草塘</w:t>
                  </w:r>
                </w:p>
              </w:tc>
              <w:tc>
                <w:tcPr>
                  <w:tcW w:w="2056" w:type="pct"/>
                  <w:noWrap w:val="0"/>
                  <w:vAlign w:val="center"/>
                </w:tcPr>
                <w:p w14:paraId="0D783C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46.杏菜草塘</w:t>
                  </w:r>
                </w:p>
              </w:tc>
            </w:tr>
            <w:tr w14:paraId="39FFE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68C64C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0BBC2B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vMerge w:val="continue"/>
                  <w:noWrap w:val="0"/>
                  <w:vAlign w:val="center"/>
                </w:tcPr>
                <w:p w14:paraId="42E086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1235" w:type="pct"/>
                  <w:vMerge w:val="continue"/>
                  <w:noWrap w:val="0"/>
                  <w:vAlign w:val="center"/>
                </w:tcPr>
                <w:p w14:paraId="429045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2056" w:type="pct"/>
                  <w:noWrap w:val="0"/>
                  <w:vAlign w:val="center"/>
                </w:tcPr>
                <w:p w14:paraId="2FE016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47竹叶眼子菜、杏菜草塘</w:t>
                  </w:r>
                </w:p>
              </w:tc>
            </w:tr>
            <w:tr w14:paraId="16905A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1A1437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6225EA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5F1990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浮萍蓬草塘</w:t>
                  </w:r>
                </w:p>
              </w:tc>
              <w:tc>
                <w:tcPr>
                  <w:tcW w:w="1235" w:type="pct"/>
                  <w:noWrap w:val="0"/>
                  <w:vAlign w:val="center"/>
                </w:tcPr>
                <w:p w14:paraId="2C88EF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稀脉浮萍草塘</w:t>
                  </w:r>
                </w:p>
              </w:tc>
              <w:tc>
                <w:tcPr>
                  <w:tcW w:w="2056" w:type="pct"/>
                  <w:noWrap w:val="0"/>
                  <w:vAlign w:val="center"/>
                </w:tcPr>
                <w:p w14:paraId="311055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48.紫萍、稀脉浮萍草塘</w:t>
                  </w:r>
                </w:p>
              </w:tc>
            </w:tr>
            <w:tr w14:paraId="291C9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609DE5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restart"/>
                  <w:noWrap w:val="0"/>
                  <w:vAlign w:val="center"/>
                </w:tcPr>
                <w:p w14:paraId="613677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2"/>
                      <w:kern w:val="0"/>
                      <w:sz w:val="18"/>
                      <w:szCs w:val="18"/>
                      <w:highlight w:val="none"/>
                    </w:rPr>
                    <w:t>漂浮型草塘</w:t>
                  </w:r>
                </w:p>
              </w:tc>
              <w:tc>
                <w:tcPr>
                  <w:tcW w:w="658" w:type="pct"/>
                  <w:noWrap w:val="0"/>
                  <w:vAlign w:val="center"/>
                </w:tcPr>
                <w:p w14:paraId="64CB9F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浮萍草塘</w:t>
                  </w:r>
                </w:p>
              </w:tc>
              <w:tc>
                <w:tcPr>
                  <w:tcW w:w="1235" w:type="pct"/>
                  <w:noWrap w:val="0"/>
                  <w:vAlign w:val="center"/>
                </w:tcPr>
                <w:p w14:paraId="49B267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稀脉浮萍草塘</w:t>
                  </w:r>
                </w:p>
              </w:tc>
              <w:tc>
                <w:tcPr>
                  <w:tcW w:w="2056" w:type="pct"/>
                  <w:noWrap w:val="0"/>
                  <w:vAlign w:val="center"/>
                </w:tcPr>
                <w:p w14:paraId="0A65EC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49.紫萍、稀脉浮萍草塘</w:t>
                  </w:r>
                </w:p>
              </w:tc>
            </w:tr>
            <w:tr w14:paraId="50982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00F85F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110E94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35BB17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槐叶萍草塘</w:t>
                  </w:r>
                </w:p>
              </w:tc>
              <w:tc>
                <w:tcPr>
                  <w:tcW w:w="1235" w:type="pct"/>
                  <w:noWrap w:val="0"/>
                  <w:vAlign w:val="center"/>
                </w:tcPr>
                <w:p w14:paraId="118178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槐叶萍草塘</w:t>
                  </w:r>
                </w:p>
              </w:tc>
              <w:tc>
                <w:tcPr>
                  <w:tcW w:w="2056" w:type="pct"/>
                  <w:noWrap w:val="0"/>
                  <w:vAlign w:val="center"/>
                </w:tcPr>
                <w:p w14:paraId="7A6A21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50.槐叶萍、浮萍草塘</w:t>
                  </w:r>
                </w:p>
              </w:tc>
            </w:tr>
            <w:tr w14:paraId="28B67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39207E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restart"/>
                  <w:noWrap w:val="0"/>
                  <w:vAlign w:val="center"/>
                </w:tcPr>
                <w:p w14:paraId="378383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spacing w:val="-2"/>
                      <w:kern w:val="0"/>
                      <w:sz w:val="18"/>
                      <w:szCs w:val="18"/>
                      <w:highlight w:val="none"/>
                    </w:rPr>
                    <w:t>挺水型草塘</w:t>
                  </w:r>
                </w:p>
              </w:tc>
              <w:tc>
                <w:tcPr>
                  <w:tcW w:w="658" w:type="pct"/>
                  <w:noWrap w:val="0"/>
                  <w:vAlign w:val="center"/>
                </w:tcPr>
                <w:p w14:paraId="345988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莲草塘</w:t>
                  </w:r>
                </w:p>
              </w:tc>
              <w:tc>
                <w:tcPr>
                  <w:tcW w:w="1235" w:type="pct"/>
                  <w:noWrap w:val="0"/>
                  <w:vAlign w:val="center"/>
                </w:tcPr>
                <w:p w14:paraId="5D9257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莲草塘</w:t>
                  </w:r>
                </w:p>
              </w:tc>
              <w:tc>
                <w:tcPr>
                  <w:tcW w:w="2056" w:type="pct"/>
                  <w:noWrap w:val="0"/>
                  <w:vAlign w:val="center"/>
                </w:tcPr>
                <w:p w14:paraId="48A5D5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51.莲草塘</w:t>
                  </w:r>
                </w:p>
              </w:tc>
            </w:tr>
            <w:tr w14:paraId="182A1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66992F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2E611A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46D515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慈姑草塘</w:t>
                  </w:r>
                </w:p>
              </w:tc>
              <w:tc>
                <w:tcPr>
                  <w:tcW w:w="1235" w:type="pct"/>
                  <w:noWrap w:val="0"/>
                  <w:vAlign w:val="center"/>
                </w:tcPr>
                <w:p w14:paraId="3E1FD9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三裂慈姑草塘</w:t>
                  </w:r>
                </w:p>
              </w:tc>
              <w:tc>
                <w:tcPr>
                  <w:tcW w:w="2056" w:type="pct"/>
                  <w:noWrap w:val="0"/>
                  <w:vAlign w:val="center"/>
                </w:tcPr>
                <w:p w14:paraId="6380F8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52.三裂慈姑、雨久花草塘</w:t>
                  </w:r>
                </w:p>
              </w:tc>
            </w:tr>
            <w:tr w14:paraId="45A74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5B35C0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327A34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46297B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香蒲草塘</w:t>
                  </w:r>
                </w:p>
              </w:tc>
              <w:tc>
                <w:tcPr>
                  <w:tcW w:w="1235" w:type="pct"/>
                  <w:noWrap w:val="0"/>
                  <w:vAlign w:val="center"/>
                </w:tcPr>
                <w:p w14:paraId="373648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狭叶香蒲草塘</w:t>
                  </w:r>
                </w:p>
              </w:tc>
              <w:tc>
                <w:tcPr>
                  <w:tcW w:w="2056" w:type="pct"/>
                  <w:noWrap w:val="0"/>
                  <w:vAlign w:val="center"/>
                </w:tcPr>
                <w:p w14:paraId="36E40E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53.狭叶香蒲、芦苇草塘</w:t>
                  </w:r>
                </w:p>
              </w:tc>
            </w:tr>
            <w:tr w14:paraId="4C60C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noWrap w:val="0"/>
                  <w:vAlign w:val="center"/>
                </w:tcPr>
                <w:p w14:paraId="23C7DA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577" w:type="pct"/>
                  <w:vMerge w:val="continue"/>
                  <w:noWrap w:val="0"/>
                  <w:vAlign w:val="center"/>
                </w:tcPr>
                <w:p w14:paraId="75895F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p>
              </w:tc>
              <w:tc>
                <w:tcPr>
                  <w:tcW w:w="658" w:type="pct"/>
                  <w:noWrap w:val="0"/>
                  <w:vAlign w:val="center"/>
                </w:tcPr>
                <w:p w14:paraId="351F98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菰草塘</w:t>
                  </w:r>
                </w:p>
              </w:tc>
              <w:tc>
                <w:tcPr>
                  <w:tcW w:w="1235" w:type="pct"/>
                  <w:noWrap w:val="0"/>
                  <w:vAlign w:val="center"/>
                </w:tcPr>
                <w:p w14:paraId="728981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菰草塘</w:t>
                  </w:r>
                </w:p>
              </w:tc>
              <w:tc>
                <w:tcPr>
                  <w:tcW w:w="2056" w:type="pct"/>
                  <w:noWrap w:val="0"/>
                  <w:vAlign w:val="center"/>
                </w:tcPr>
                <w:p w14:paraId="4E3C74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54.菰草塘</w:t>
                  </w:r>
                </w:p>
              </w:tc>
            </w:tr>
          </w:tbl>
          <w:p w14:paraId="2130202F">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b w:val="0"/>
                <w:bCs/>
                <w:color w:val="auto"/>
                <w:sz w:val="21"/>
                <w:szCs w:val="21"/>
                <w:highlight w:val="none"/>
              </w:rPr>
            </w:pPr>
            <w:bookmarkStart w:id="31" w:name="_Toc98530872"/>
            <w:r>
              <w:rPr>
                <w:rFonts w:hint="eastAsia"/>
                <w:b w:val="0"/>
                <w:bCs/>
                <w:color w:val="auto"/>
                <w:sz w:val="21"/>
                <w:szCs w:val="21"/>
                <w:highlight w:val="none"/>
                <w:lang w:val="en-US" w:eastAsia="zh-CN"/>
              </w:rPr>
              <w:t>5</w:t>
            </w:r>
            <w:r>
              <w:rPr>
                <w:rFonts w:hint="eastAsia"/>
                <w:b w:val="0"/>
                <w:bCs/>
                <w:color w:val="auto"/>
                <w:sz w:val="21"/>
                <w:szCs w:val="21"/>
                <w:highlight w:val="none"/>
              </w:rPr>
              <w:t>.7</w:t>
            </w:r>
            <w:r>
              <w:rPr>
                <w:b w:val="0"/>
                <w:bCs/>
                <w:color w:val="auto"/>
                <w:sz w:val="21"/>
                <w:szCs w:val="21"/>
                <w:highlight w:val="none"/>
              </w:rPr>
              <w:t>动物多样性调查</w:t>
            </w:r>
            <w:bookmarkEnd w:id="31"/>
          </w:p>
          <w:p w14:paraId="395FE21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黑龙江饶河东北黑蜂国家级自然保护区地处完达山东部，乌苏里江中上游左岸。在动物地理区划上属于东北区、长白山地亚区、东南山地省、完达山州和三江平原省、三江平原州。据本次调查及以往有关资料表明，黑龙江饶河东北黑蜂国家级自然保护区共有脊椎动物302种，包括兽类6目16科44种，鸟类17目</w:t>
            </w:r>
            <w:r>
              <w:rPr>
                <w:color w:val="auto"/>
                <w:spacing w:val="-8"/>
                <w:sz w:val="21"/>
                <w:szCs w:val="21"/>
                <w:highlight w:val="none"/>
              </w:rPr>
              <w:t>44科191种，爬行类动物2目3科4种，两栖类动物2目4科5种，鱼类9目</w:t>
            </w:r>
            <w:r>
              <w:rPr>
                <w:color w:val="auto"/>
                <w:spacing w:val="-12"/>
                <w:sz w:val="21"/>
                <w:szCs w:val="21"/>
                <w:highlight w:val="none"/>
              </w:rPr>
              <w:t>14科58种（包括圆口纲动物1目1科1种）。昆虫纲动物12目75科369种。</w:t>
            </w:r>
          </w:p>
          <w:p w14:paraId="7C4F5CF2">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color w:val="auto"/>
                <w:sz w:val="21"/>
                <w:szCs w:val="21"/>
                <w:highlight w:val="none"/>
              </w:rPr>
            </w:pPr>
            <w:r>
              <w:rPr>
                <w:color w:val="auto"/>
                <w:spacing w:val="11"/>
                <w:sz w:val="21"/>
                <w:szCs w:val="21"/>
                <w:highlight w:val="none"/>
              </w:rPr>
              <w:t>其中国家级重点保护动物有52种，国家一级保护动物有东方白鹳</w:t>
            </w:r>
            <w:r>
              <w:rPr>
                <w:color w:val="auto"/>
                <w:spacing w:val="-1"/>
                <w:sz w:val="21"/>
                <w:szCs w:val="21"/>
                <w:highlight w:val="none"/>
              </w:rPr>
              <w:t>(</w:t>
            </w:r>
            <w:r>
              <w:rPr>
                <w:i/>
                <w:iCs/>
                <w:color w:val="auto"/>
                <w:spacing w:val="-1"/>
                <w:sz w:val="21"/>
                <w:szCs w:val="21"/>
                <w:highlight w:val="none"/>
              </w:rPr>
              <w:t>Ciconiaboyciana</w:t>
            </w:r>
            <w:r>
              <w:rPr>
                <w:color w:val="auto"/>
                <w:spacing w:val="-1"/>
                <w:sz w:val="21"/>
                <w:szCs w:val="21"/>
                <w:highlight w:val="none"/>
              </w:rPr>
              <w:t>)、丹顶鹤(</w:t>
            </w:r>
            <w:r>
              <w:rPr>
                <w:i/>
                <w:iCs/>
                <w:color w:val="auto"/>
                <w:spacing w:val="-1"/>
                <w:sz w:val="21"/>
                <w:szCs w:val="21"/>
                <w:highlight w:val="none"/>
              </w:rPr>
              <w:t>Grusjaponensis</w:t>
            </w:r>
            <w:r>
              <w:rPr>
                <w:color w:val="auto"/>
                <w:spacing w:val="-1"/>
                <w:sz w:val="21"/>
                <w:szCs w:val="21"/>
                <w:highlight w:val="none"/>
              </w:rPr>
              <w:t>)、中华秋沙鸭(</w:t>
            </w:r>
            <w:r>
              <w:rPr>
                <w:i/>
                <w:iCs/>
                <w:color w:val="auto"/>
                <w:spacing w:val="-1"/>
                <w:sz w:val="21"/>
                <w:szCs w:val="21"/>
                <w:highlight w:val="none"/>
              </w:rPr>
              <w:t>Mergussquanmatus</w:t>
            </w:r>
            <w:r>
              <w:rPr>
                <w:color w:val="auto"/>
                <w:spacing w:val="-1"/>
                <w:sz w:val="21"/>
                <w:szCs w:val="21"/>
                <w:highlight w:val="none"/>
              </w:rPr>
              <w:t>)、</w:t>
            </w:r>
            <w:r>
              <w:rPr>
                <w:color w:val="auto"/>
                <w:spacing w:val="-2"/>
                <w:sz w:val="21"/>
                <w:szCs w:val="21"/>
                <w:highlight w:val="none"/>
              </w:rPr>
              <w:t>白尾海雕(</w:t>
            </w:r>
            <w:r>
              <w:rPr>
                <w:i/>
                <w:iCs/>
                <w:color w:val="auto"/>
                <w:spacing w:val="-2"/>
                <w:sz w:val="21"/>
                <w:szCs w:val="21"/>
                <w:highlight w:val="none"/>
              </w:rPr>
              <w:t>Haliaeetusalbicilla</w:t>
            </w:r>
            <w:r>
              <w:rPr>
                <w:color w:val="auto"/>
                <w:spacing w:val="-2"/>
                <w:sz w:val="21"/>
                <w:szCs w:val="21"/>
                <w:highlight w:val="none"/>
              </w:rPr>
              <w:t>)、金雕(</w:t>
            </w:r>
            <w:r>
              <w:rPr>
                <w:i/>
                <w:iCs/>
                <w:color w:val="auto"/>
                <w:spacing w:val="-2"/>
                <w:sz w:val="21"/>
                <w:szCs w:val="21"/>
                <w:highlight w:val="none"/>
              </w:rPr>
              <w:t>Aquilachrysaetos</w:t>
            </w:r>
            <w:r>
              <w:rPr>
                <w:color w:val="auto"/>
                <w:spacing w:val="-2"/>
                <w:sz w:val="21"/>
                <w:szCs w:val="21"/>
                <w:highlight w:val="none"/>
              </w:rPr>
              <w:t>)和黑鹳(Cigognenoire)、</w:t>
            </w:r>
            <w:r>
              <w:rPr>
                <w:rFonts w:eastAsia="仿宋"/>
                <w:color w:val="auto"/>
                <w:spacing w:val="-2"/>
                <w:sz w:val="21"/>
                <w:szCs w:val="21"/>
                <w:highlight w:val="none"/>
              </w:rPr>
              <w:t>白头鹤</w:t>
            </w:r>
            <w:r>
              <w:rPr>
                <w:color w:val="auto"/>
                <w:spacing w:val="-2"/>
                <w:sz w:val="21"/>
                <w:szCs w:val="21"/>
                <w:highlight w:val="none"/>
              </w:rPr>
              <w:t>(</w:t>
            </w:r>
            <w:r>
              <w:rPr>
                <w:i/>
                <w:iCs/>
                <w:color w:val="auto"/>
                <w:spacing w:val="-2"/>
                <w:sz w:val="21"/>
                <w:szCs w:val="21"/>
                <w:highlight w:val="none"/>
              </w:rPr>
              <w:t>Gruemoine</w:t>
            </w:r>
            <w:r>
              <w:rPr>
                <w:color w:val="auto"/>
                <w:spacing w:val="-2"/>
                <w:sz w:val="21"/>
                <w:szCs w:val="21"/>
                <w:highlight w:val="none"/>
              </w:rPr>
              <w:t>)</w:t>
            </w:r>
            <w:r>
              <w:rPr>
                <w:rFonts w:eastAsia="仿宋"/>
                <w:color w:val="auto"/>
                <w:spacing w:val="-2"/>
                <w:sz w:val="21"/>
                <w:szCs w:val="21"/>
                <w:highlight w:val="none"/>
              </w:rPr>
              <w:t>、</w:t>
            </w:r>
            <w:r>
              <w:rPr>
                <w:color w:val="auto"/>
                <w:spacing w:val="-2"/>
                <w:sz w:val="21"/>
                <w:szCs w:val="21"/>
                <w:highlight w:val="none"/>
              </w:rPr>
              <w:t>东北虎(</w:t>
            </w:r>
            <w:r>
              <w:rPr>
                <w:i/>
                <w:iCs/>
                <w:color w:val="auto"/>
                <w:spacing w:val="-2"/>
                <w:sz w:val="21"/>
                <w:szCs w:val="21"/>
                <w:highlight w:val="none"/>
              </w:rPr>
              <w:t>Manchuriantiger</w:t>
            </w:r>
            <w:r>
              <w:rPr>
                <w:color w:val="auto"/>
                <w:spacing w:val="-2"/>
                <w:sz w:val="21"/>
                <w:szCs w:val="21"/>
                <w:highlight w:val="none"/>
                <w:shd w:val="clear" w:color="auto" w:fill="F9F8E4"/>
              </w:rPr>
              <w:t>)</w:t>
            </w:r>
            <w:r>
              <w:rPr>
                <w:rFonts w:eastAsia="仿宋"/>
                <w:color w:val="auto"/>
                <w:spacing w:val="-2"/>
                <w:sz w:val="21"/>
                <w:szCs w:val="21"/>
                <w:highlight w:val="none"/>
              </w:rPr>
              <w:t>、</w:t>
            </w:r>
            <w:r>
              <w:rPr>
                <w:color w:val="auto"/>
                <w:spacing w:val="-2"/>
                <w:sz w:val="21"/>
                <w:szCs w:val="21"/>
                <w:highlight w:val="none"/>
              </w:rPr>
              <w:t>豺(</w:t>
            </w:r>
            <w:r>
              <w:rPr>
                <w:i/>
                <w:iCs/>
                <w:color w:val="auto"/>
                <w:spacing w:val="-2"/>
                <w:sz w:val="21"/>
                <w:szCs w:val="21"/>
                <w:highlight w:val="none"/>
              </w:rPr>
              <w:t>Jackal</w:t>
            </w:r>
            <w:r>
              <w:rPr>
                <w:color w:val="auto"/>
                <w:spacing w:val="-2"/>
                <w:sz w:val="21"/>
                <w:szCs w:val="21"/>
                <w:highlight w:val="none"/>
              </w:rPr>
              <w:t>)和紫貂(</w:t>
            </w:r>
            <w:r>
              <w:rPr>
                <w:i/>
                <w:iCs/>
                <w:color w:val="auto"/>
                <w:spacing w:val="-2"/>
                <w:sz w:val="21"/>
                <w:szCs w:val="21"/>
                <w:highlight w:val="none"/>
              </w:rPr>
              <w:t>marteszibellina</w:t>
            </w:r>
            <w:r>
              <w:rPr>
                <w:color w:val="auto"/>
                <w:spacing w:val="-2"/>
                <w:sz w:val="21"/>
                <w:szCs w:val="21"/>
                <w:highlight w:val="none"/>
                <w:shd w:val="clear" w:color="auto" w:fill="F9F8E4"/>
              </w:rPr>
              <w:t>)</w:t>
            </w:r>
            <w:r>
              <w:rPr>
                <w:color w:val="auto"/>
                <w:spacing w:val="-2"/>
                <w:sz w:val="21"/>
                <w:szCs w:val="21"/>
                <w:highlight w:val="none"/>
              </w:rPr>
              <w:t>共10种；国家二级保护动物有白枕鹤(</w:t>
            </w:r>
            <w:r>
              <w:rPr>
                <w:i/>
                <w:iCs/>
                <w:color w:val="auto"/>
                <w:spacing w:val="-2"/>
                <w:sz w:val="21"/>
                <w:szCs w:val="21"/>
                <w:highlight w:val="none"/>
              </w:rPr>
              <w:t>Grusvipio</w:t>
            </w:r>
            <w:r>
              <w:rPr>
                <w:color w:val="auto"/>
                <w:spacing w:val="-2"/>
                <w:sz w:val="21"/>
                <w:szCs w:val="21"/>
                <w:highlight w:val="none"/>
              </w:rPr>
              <w:t>)、大天鹅(</w:t>
            </w:r>
            <w:r>
              <w:rPr>
                <w:i/>
                <w:iCs/>
                <w:color w:val="auto"/>
                <w:spacing w:val="-2"/>
                <w:sz w:val="21"/>
                <w:szCs w:val="21"/>
                <w:highlight w:val="none"/>
              </w:rPr>
              <w:t>Cygnuscygnus</w:t>
            </w:r>
            <w:r>
              <w:rPr>
                <w:color w:val="auto"/>
                <w:spacing w:val="-2"/>
                <w:sz w:val="21"/>
                <w:szCs w:val="21"/>
                <w:highlight w:val="none"/>
              </w:rPr>
              <w:t>)、鸳</w:t>
            </w:r>
            <w:r>
              <w:rPr>
                <w:color w:val="auto"/>
                <w:spacing w:val="-1"/>
                <w:sz w:val="21"/>
                <w:szCs w:val="21"/>
                <w:highlight w:val="none"/>
              </w:rPr>
              <w:t>鸯(</w:t>
            </w:r>
            <w:r>
              <w:rPr>
                <w:i/>
                <w:iCs/>
                <w:color w:val="auto"/>
                <w:spacing w:val="-1"/>
                <w:sz w:val="21"/>
                <w:szCs w:val="21"/>
                <w:highlight w:val="none"/>
              </w:rPr>
              <w:t>Aixgalericulata</w:t>
            </w:r>
            <w:r>
              <w:rPr>
                <w:color w:val="auto"/>
                <w:spacing w:val="-1"/>
                <w:sz w:val="21"/>
                <w:szCs w:val="21"/>
                <w:highlight w:val="none"/>
              </w:rPr>
              <w:t>)、黑熊(</w:t>
            </w:r>
            <w:r>
              <w:rPr>
                <w:i/>
                <w:iCs/>
                <w:color w:val="auto"/>
                <w:spacing w:val="-1"/>
                <w:sz w:val="21"/>
                <w:szCs w:val="21"/>
                <w:highlight w:val="none"/>
              </w:rPr>
              <w:t>Selenarctosthibetanus</w:t>
            </w:r>
            <w:r>
              <w:rPr>
                <w:color w:val="auto"/>
                <w:spacing w:val="-1"/>
                <w:sz w:val="21"/>
                <w:szCs w:val="21"/>
                <w:highlight w:val="none"/>
              </w:rPr>
              <w:t>)等42种。</w:t>
            </w:r>
          </w:p>
          <w:p w14:paraId="42FC685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黑龙江饶河东北黑蜂国家级自然保护区分布的9种两栖、爬行动物中，有省级保护动物3种：极北鲵、东北林蛙和黑龙江林蛙；列入“三有名录”的两栖、爬行动物有8种：极北鲵、中华蟾蜍、黑龙江林蛙、东北林蛙和鳖、枕纹锦蛇、乌苏里蝮、岩栖蝮。</w:t>
            </w:r>
          </w:p>
          <w:p w14:paraId="58E1527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饶河东北黑蜂保护区地区脊椎动物组成见表3-</w:t>
            </w:r>
            <w:r>
              <w:rPr>
                <w:rFonts w:hint="eastAsia"/>
                <w:color w:val="auto"/>
                <w:sz w:val="21"/>
                <w:szCs w:val="21"/>
                <w:highlight w:val="none"/>
                <w:lang w:val="en-US" w:eastAsia="zh-CN"/>
              </w:rPr>
              <w:t>5</w:t>
            </w:r>
            <w:r>
              <w:rPr>
                <w:color w:val="auto"/>
                <w:sz w:val="21"/>
                <w:szCs w:val="21"/>
                <w:highlight w:val="none"/>
              </w:rPr>
              <w:t>。</w:t>
            </w:r>
          </w:p>
          <w:p w14:paraId="3CBC30A3">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表3-5 饶河东北黑蜂保护区地区脊椎动物组成</w:t>
            </w:r>
          </w:p>
          <w:p w14:paraId="09E0A6FF">
            <w:pPr>
              <w:widowControl/>
              <w:kinsoku w:val="0"/>
              <w:autoSpaceDE w:val="0"/>
              <w:autoSpaceDN w:val="0"/>
              <w:adjustRightInd w:val="0"/>
              <w:snapToGrid w:val="0"/>
              <w:spacing w:line="30" w:lineRule="exact"/>
              <w:jc w:val="left"/>
              <w:textAlignment w:val="baseline"/>
              <w:rPr>
                <w:color w:val="000000"/>
                <w:kern w:val="0"/>
                <w:szCs w:val="21"/>
                <w:highlight w:val="none"/>
              </w:rPr>
            </w:pPr>
            <w:r>
              <w:rPr>
                <w:color w:val="000000"/>
                <w:kern w:val="0"/>
                <w:szCs w:val="21"/>
                <w:highlight w:val="none"/>
              </w:rPr>
              <w:t xml:space="preserve"> </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91"/>
              <w:gridCol w:w="848"/>
              <w:gridCol w:w="726"/>
              <w:gridCol w:w="849"/>
              <w:gridCol w:w="846"/>
              <w:gridCol w:w="725"/>
              <w:gridCol w:w="970"/>
              <w:gridCol w:w="905"/>
              <w:gridCol w:w="830"/>
            </w:tblGrid>
            <w:tr w14:paraId="66B1DB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06" w:type="pct"/>
                  <w:tcBorders>
                    <w:top w:val="single" w:color="000000" w:sz="12" w:space="0"/>
                    <w:left w:val="nil"/>
                    <w:bottom w:val="single" w:color="000000" w:sz="2" w:space="0"/>
                    <w:right w:val="single" w:color="000000" w:sz="2" w:space="0"/>
                  </w:tcBorders>
                  <w:noWrap w:val="0"/>
                  <w:vAlign w:val="center"/>
                </w:tcPr>
                <w:p w14:paraId="6638FAA9">
                  <w:pPr>
                    <w:pStyle w:val="109"/>
                    <w:jc w:val="center"/>
                    <w:rPr>
                      <w:rFonts w:eastAsia="Times New Roman"/>
                      <w:color w:val="auto"/>
                      <w:sz w:val="18"/>
                      <w:szCs w:val="18"/>
                      <w:highlight w:val="none"/>
                    </w:rPr>
                  </w:pPr>
                  <w:r>
                    <w:rPr>
                      <w:rFonts w:hint="eastAsia"/>
                      <w:color w:val="auto"/>
                      <w:sz w:val="18"/>
                      <w:szCs w:val="18"/>
                      <w:highlight w:val="none"/>
                    </w:rPr>
                    <w:t>项目</w:t>
                  </w:r>
                </w:p>
              </w:tc>
              <w:tc>
                <w:tcPr>
                  <w:tcW w:w="582" w:type="pct"/>
                  <w:tcBorders>
                    <w:top w:val="single" w:color="000000" w:sz="12" w:space="0"/>
                    <w:left w:val="single" w:color="000000" w:sz="2" w:space="0"/>
                    <w:bottom w:val="single" w:color="000000" w:sz="2" w:space="0"/>
                    <w:right w:val="single" w:color="000000" w:sz="2" w:space="0"/>
                  </w:tcBorders>
                  <w:noWrap w:val="0"/>
                  <w:vAlign w:val="center"/>
                </w:tcPr>
                <w:p w14:paraId="1CB12A53">
                  <w:pPr>
                    <w:pStyle w:val="109"/>
                    <w:jc w:val="center"/>
                    <w:rPr>
                      <w:rFonts w:eastAsia="Times New Roman"/>
                      <w:color w:val="auto"/>
                      <w:sz w:val="18"/>
                      <w:szCs w:val="18"/>
                      <w:highlight w:val="none"/>
                    </w:rPr>
                  </w:pPr>
                  <w:r>
                    <w:rPr>
                      <w:rFonts w:hint="eastAsia"/>
                      <w:color w:val="auto"/>
                      <w:spacing w:val="-2"/>
                      <w:sz w:val="18"/>
                      <w:szCs w:val="18"/>
                      <w:highlight w:val="none"/>
                    </w:rPr>
                    <w:t>兽类</w:t>
                  </w:r>
                </w:p>
              </w:tc>
              <w:tc>
                <w:tcPr>
                  <w:tcW w:w="498" w:type="pct"/>
                  <w:tcBorders>
                    <w:top w:val="single" w:color="000000" w:sz="12" w:space="0"/>
                    <w:left w:val="single" w:color="000000" w:sz="2" w:space="0"/>
                    <w:bottom w:val="single" w:color="000000" w:sz="2" w:space="0"/>
                    <w:right w:val="single" w:color="000000" w:sz="2" w:space="0"/>
                  </w:tcBorders>
                  <w:noWrap w:val="0"/>
                  <w:vAlign w:val="center"/>
                </w:tcPr>
                <w:p w14:paraId="76852B7B">
                  <w:pPr>
                    <w:pStyle w:val="109"/>
                    <w:jc w:val="center"/>
                    <w:rPr>
                      <w:rFonts w:eastAsia="Times New Roman"/>
                      <w:color w:val="auto"/>
                      <w:sz w:val="18"/>
                      <w:szCs w:val="18"/>
                      <w:highlight w:val="none"/>
                    </w:rPr>
                  </w:pPr>
                  <w:r>
                    <w:rPr>
                      <w:rFonts w:hint="eastAsia"/>
                      <w:color w:val="auto"/>
                      <w:sz w:val="18"/>
                      <w:szCs w:val="18"/>
                      <w:highlight w:val="none"/>
                    </w:rPr>
                    <w:t>鱼类</w:t>
                  </w:r>
                </w:p>
              </w:tc>
              <w:tc>
                <w:tcPr>
                  <w:tcW w:w="582" w:type="pct"/>
                  <w:tcBorders>
                    <w:top w:val="single" w:color="000000" w:sz="12" w:space="0"/>
                    <w:left w:val="single" w:color="000000" w:sz="2" w:space="0"/>
                    <w:bottom w:val="single" w:color="000000" w:sz="2" w:space="0"/>
                    <w:right w:val="single" w:color="000000" w:sz="2" w:space="0"/>
                  </w:tcBorders>
                  <w:noWrap w:val="0"/>
                  <w:vAlign w:val="center"/>
                </w:tcPr>
                <w:p w14:paraId="0C6409EB">
                  <w:pPr>
                    <w:pStyle w:val="109"/>
                    <w:jc w:val="center"/>
                    <w:rPr>
                      <w:rFonts w:eastAsia="Times New Roman"/>
                      <w:color w:val="auto"/>
                      <w:sz w:val="18"/>
                      <w:szCs w:val="18"/>
                      <w:highlight w:val="none"/>
                    </w:rPr>
                  </w:pPr>
                  <w:r>
                    <w:rPr>
                      <w:rFonts w:hint="eastAsia"/>
                      <w:color w:val="auto"/>
                      <w:spacing w:val="-2"/>
                      <w:sz w:val="18"/>
                      <w:szCs w:val="18"/>
                      <w:highlight w:val="none"/>
                    </w:rPr>
                    <w:t>两栖类</w:t>
                  </w:r>
                </w:p>
              </w:tc>
              <w:tc>
                <w:tcPr>
                  <w:tcW w:w="580" w:type="pct"/>
                  <w:tcBorders>
                    <w:top w:val="single" w:color="000000" w:sz="12" w:space="0"/>
                    <w:left w:val="single" w:color="000000" w:sz="2" w:space="0"/>
                    <w:bottom w:val="single" w:color="000000" w:sz="2" w:space="0"/>
                    <w:right w:val="single" w:color="000000" w:sz="2" w:space="0"/>
                  </w:tcBorders>
                  <w:noWrap w:val="0"/>
                  <w:vAlign w:val="center"/>
                </w:tcPr>
                <w:p w14:paraId="664B51D8">
                  <w:pPr>
                    <w:pStyle w:val="109"/>
                    <w:jc w:val="center"/>
                    <w:rPr>
                      <w:rFonts w:eastAsia="Times New Roman"/>
                      <w:color w:val="auto"/>
                      <w:sz w:val="18"/>
                      <w:szCs w:val="18"/>
                      <w:highlight w:val="none"/>
                    </w:rPr>
                  </w:pPr>
                  <w:r>
                    <w:rPr>
                      <w:rFonts w:hint="eastAsia"/>
                      <w:color w:val="auto"/>
                      <w:spacing w:val="-1"/>
                      <w:sz w:val="18"/>
                      <w:szCs w:val="18"/>
                      <w:highlight w:val="none"/>
                    </w:rPr>
                    <w:t>爬行类</w:t>
                  </w:r>
                </w:p>
              </w:tc>
              <w:tc>
                <w:tcPr>
                  <w:tcW w:w="497" w:type="pct"/>
                  <w:tcBorders>
                    <w:top w:val="single" w:color="000000" w:sz="12" w:space="0"/>
                    <w:left w:val="single" w:color="000000" w:sz="2" w:space="0"/>
                    <w:bottom w:val="single" w:color="000000" w:sz="2" w:space="0"/>
                    <w:right w:val="single" w:color="000000" w:sz="2" w:space="0"/>
                  </w:tcBorders>
                  <w:noWrap w:val="0"/>
                  <w:vAlign w:val="center"/>
                </w:tcPr>
                <w:p w14:paraId="677A7A38">
                  <w:pPr>
                    <w:pStyle w:val="109"/>
                    <w:jc w:val="center"/>
                    <w:rPr>
                      <w:rFonts w:eastAsia="Times New Roman"/>
                      <w:color w:val="auto"/>
                      <w:sz w:val="18"/>
                      <w:szCs w:val="18"/>
                      <w:highlight w:val="none"/>
                    </w:rPr>
                  </w:pPr>
                  <w:r>
                    <w:rPr>
                      <w:rFonts w:hint="eastAsia"/>
                      <w:color w:val="auto"/>
                      <w:sz w:val="18"/>
                      <w:szCs w:val="18"/>
                      <w:highlight w:val="none"/>
                    </w:rPr>
                    <w:t>鸟类</w:t>
                  </w:r>
                </w:p>
              </w:tc>
              <w:tc>
                <w:tcPr>
                  <w:tcW w:w="665" w:type="pct"/>
                  <w:tcBorders>
                    <w:top w:val="single" w:color="000000" w:sz="12" w:space="0"/>
                    <w:left w:val="single" w:color="000000" w:sz="2" w:space="0"/>
                    <w:bottom w:val="single" w:color="000000" w:sz="2" w:space="0"/>
                    <w:right w:val="single" w:color="000000" w:sz="2" w:space="0"/>
                  </w:tcBorders>
                  <w:noWrap w:val="0"/>
                  <w:vAlign w:val="center"/>
                </w:tcPr>
                <w:p w14:paraId="5A9773F2">
                  <w:pPr>
                    <w:pStyle w:val="109"/>
                    <w:jc w:val="center"/>
                    <w:rPr>
                      <w:rFonts w:eastAsia="Times New Roman"/>
                      <w:color w:val="auto"/>
                      <w:sz w:val="18"/>
                      <w:szCs w:val="18"/>
                      <w:highlight w:val="none"/>
                    </w:rPr>
                  </w:pPr>
                  <w:r>
                    <w:rPr>
                      <w:rFonts w:hint="eastAsia"/>
                      <w:color w:val="auto"/>
                      <w:sz w:val="18"/>
                      <w:szCs w:val="18"/>
                      <w:highlight w:val="none"/>
                    </w:rPr>
                    <w:t>哺乳类</w:t>
                  </w:r>
                </w:p>
              </w:tc>
              <w:tc>
                <w:tcPr>
                  <w:tcW w:w="621" w:type="pct"/>
                  <w:tcBorders>
                    <w:top w:val="single" w:color="000000" w:sz="12" w:space="0"/>
                    <w:left w:val="single" w:color="000000" w:sz="2" w:space="0"/>
                    <w:bottom w:val="single" w:color="000000" w:sz="2" w:space="0"/>
                    <w:right w:val="single" w:color="000000" w:sz="2" w:space="0"/>
                  </w:tcBorders>
                  <w:noWrap w:val="0"/>
                  <w:vAlign w:val="center"/>
                </w:tcPr>
                <w:p w14:paraId="6D2475B6">
                  <w:pPr>
                    <w:pStyle w:val="109"/>
                    <w:jc w:val="center"/>
                    <w:rPr>
                      <w:rFonts w:eastAsia="Times New Roman"/>
                      <w:color w:val="auto"/>
                      <w:sz w:val="18"/>
                      <w:szCs w:val="18"/>
                      <w:highlight w:val="none"/>
                    </w:rPr>
                  </w:pPr>
                  <w:r>
                    <w:rPr>
                      <w:rFonts w:hint="eastAsia"/>
                      <w:color w:val="auto"/>
                      <w:spacing w:val="-7"/>
                      <w:sz w:val="18"/>
                      <w:szCs w:val="18"/>
                      <w:highlight w:val="none"/>
                    </w:rPr>
                    <w:t>昆虫纲</w:t>
                  </w:r>
                </w:p>
              </w:tc>
              <w:tc>
                <w:tcPr>
                  <w:tcW w:w="569" w:type="pct"/>
                  <w:tcBorders>
                    <w:top w:val="single" w:color="000000" w:sz="12" w:space="0"/>
                    <w:left w:val="single" w:color="000000" w:sz="2" w:space="0"/>
                    <w:bottom w:val="single" w:color="000000" w:sz="2" w:space="0"/>
                    <w:right w:val="nil"/>
                  </w:tcBorders>
                  <w:noWrap w:val="0"/>
                  <w:vAlign w:val="center"/>
                </w:tcPr>
                <w:p w14:paraId="75C2242C">
                  <w:pPr>
                    <w:pStyle w:val="109"/>
                    <w:jc w:val="center"/>
                    <w:rPr>
                      <w:rFonts w:eastAsia="Times New Roman"/>
                      <w:color w:val="auto"/>
                      <w:sz w:val="18"/>
                      <w:szCs w:val="18"/>
                      <w:highlight w:val="none"/>
                    </w:rPr>
                  </w:pPr>
                  <w:r>
                    <w:rPr>
                      <w:rFonts w:hint="eastAsia"/>
                      <w:color w:val="auto"/>
                      <w:spacing w:val="-2"/>
                      <w:sz w:val="18"/>
                      <w:szCs w:val="18"/>
                      <w:highlight w:val="none"/>
                    </w:rPr>
                    <w:t>合计</w:t>
                  </w:r>
                </w:p>
              </w:tc>
            </w:tr>
            <w:tr w14:paraId="349270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406" w:type="pct"/>
                  <w:tcBorders>
                    <w:top w:val="single" w:color="000000" w:sz="2" w:space="0"/>
                    <w:left w:val="nil"/>
                    <w:bottom w:val="single" w:color="000000" w:sz="2" w:space="0"/>
                    <w:right w:val="single" w:color="000000" w:sz="2" w:space="0"/>
                  </w:tcBorders>
                  <w:noWrap w:val="0"/>
                  <w:vAlign w:val="center"/>
                </w:tcPr>
                <w:p w14:paraId="7C690AD2">
                  <w:pPr>
                    <w:pStyle w:val="109"/>
                    <w:jc w:val="center"/>
                    <w:rPr>
                      <w:rFonts w:eastAsia="Times New Roman"/>
                      <w:color w:val="auto"/>
                      <w:sz w:val="18"/>
                      <w:szCs w:val="18"/>
                      <w:highlight w:val="none"/>
                    </w:rPr>
                  </w:pPr>
                  <w:r>
                    <w:rPr>
                      <w:rFonts w:hint="eastAsia"/>
                      <w:color w:val="auto"/>
                      <w:sz w:val="18"/>
                      <w:szCs w:val="18"/>
                      <w:highlight w:val="none"/>
                    </w:rPr>
                    <w:t>目</w:t>
                  </w:r>
                </w:p>
              </w:tc>
              <w:tc>
                <w:tcPr>
                  <w:tcW w:w="582" w:type="pct"/>
                  <w:tcBorders>
                    <w:top w:val="single" w:color="000000" w:sz="2" w:space="0"/>
                    <w:left w:val="single" w:color="000000" w:sz="2" w:space="0"/>
                    <w:bottom w:val="single" w:color="000000" w:sz="2" w:space="0"/>
                    <w:right w:val="single" w:color="000000" w:sz="2" w:space="0"/>
                  </w:tcBorders>
                  <w:noWrap w:val="0"/>
                  <w:vAlign w:val="center"/>
                </w:tcPr>
                <w:p w14:paraId="78F22077">
                  <w:pPr>
                    <w:pStyle w:val="109"/>
                    <w:jc w:val="center"/>
                    <w:rPr>
                      <w:rFonts w:eastAsia="Times New Roman"/>
                      <w:color w:val="auto"/>
                      <w:sz w:val="18"/>
                      <w:szCs w:val="18"/>
                      <w:highlight w:val="none"/>
                    </w:rPr>
                  </w:pPr>
                  <w:r>
                    <w:rPr>
                      <w:rFonts w:eastAsia="Times New Roman"/>
                      <w:color w:val="auto"/>
                      <w:sz w:val="18"/>
                      <w:szCs w:val="18"/>
                      <w:highlight w:val="none"/>
                    </w:rPr>
                    <w:t>6</w:t>
                  </w:r>
                </w:p>
              </w:tc>
              <w:tc>
                <w:tcPr>
                  <w:tcW w:w="498" w:type="pct"/>
                  <w:tcBorders>
                    <w:top w:val="single" w:color="000000" w:sz="2" w:space="0"/>
                    <w:left w:val="single" w:color="000000" w:sz="2" w:space="0"/>
                    <w:bottom w:val="single" w:color="000000" w:sz="2" w:space="0"/>
                    <w:right w:val="single" w:color="000000" w:sz="2" w:space="0"/>
                  </w:tcBorders>
                  <w:noWrap w:val="0"/>
                  <w:vAlign w:val="center"/>
                </w:tcPr>
                <w:p w14:paraId="5E0FDA37">
                  <w:pPr>
                    <w:pStyle w:val="109"/>
                    <w:jc w:val="center"/>
                    <w:rPr>
                      <w:rFonts w:eastAsia="Times New Roman"/>
                      <w:color w:val="auto"/>
                      <w:sz w:val="18"/>
                      <w:szCs w:val="18"/>
                      <w:highlight w:val="none"/>
                    </w:rPr>
                  </w:pPr>
                  <w:r>
                    <w:rPr>
                      <w:rFonts w:eastAsia="Times New Roman"/>
                      <w:color w:val="auto"/>
                      <w:sz w:val="18"/>
                      <w:szCs w:val="18"/>
                      <w:highlight w:val="none"/>
                    </w:rPr>
                    <w:t>9</w:t>
                  </w:r>
                </w:p>
              </w:tc>
              <w:tc>
                <w:tcPr>
                  <w:tcW w:w="582" w:type="pct"/>
                  <w:tcBorders>
                    <w:top w:val="single" w:color="000000" w:sz="2" w:space="0"/>
                    <w:left w:val="single" w:color="000000" w:sz="2" w:space="0"/>
                    <w:bottom w:val="single" w:color="000000" w:sz="2" w:space="0"/>
                    <w:right w:val="single" w:color="000000" w:sz="2" w:space="0"/>
                  </w:tcBorders>
                  <w:noWrap w:val="0"/>
                  <w:vAlign w:val="center"/>
                </w:tcPr>
                <w:p w14:paraId="2EA07D07">
                  <w:pPr>
                    <w:pStyle w:val="109"/>
                    <w:jc w:val="center"/>
                    <w:rPr>
                      <w:rFonts w:eastAsia="Times New Roman"/>
                      <w:color w:val="auto"/>
                      <w:sz w:val="18"/>
                      <w:szCs w:val="18"/>
                      <w:highlight w:val="none"/>
                    </w:rPr>
                  </w:pPr>
                  <w:r>
                    <w:rPr>
                      <w:rFonts w:eastAsia="Times New Roman"/>
                      <w:color w:val="auto"/>
                      <w:sz w:val="18"/>
                      <w:szCs w:val="18"/>
                      <w:highlight w:val="none"/>
                    </w:rPr>
                    <w:t>2</w:t>
                  </w:r>
                </w:p>
              </w:tc>
              <w:tc>
                <w:tcPr>
                  <w:tcW w:w="580" w:type="pct"/>
                  <w:tcBorders>
                    <w:top w:val="single" w:color="000000" w:sz="2" w:space="0"/>
                    <w:left w:val="single" w:color="000000" w:sz="2" w:space="0"/>
                    <w:bottom w:val="single" w:color="000000" w:sz="2" w:space="0"/>
                    <w:right w:val="single" w:color="000000" w:sz="2" w:space="0"/>
                  </w:tcBorders>
                  <w:noWrap w:val="0"/>
                  <w:vAlign w:val="center"/>
                </w:tcPr>
                <w:p w14:paraId="1C35E9A6">
                  <w:pPr>
                    <w:pStyle w:val="109"/>
                    <w:jc w:val="center"/>
                    <w:rPr>
                      <w:rFonts w:eastAsia="Times New Roman"/>
                      <w:color w:val="auto"/>
                      <w:sz w:val="18"/>
                      <w:szCs w:val="18"/>
                      <w:highlight w:val="none"/>
                    </w:rPr>
                  </w:pPr>
                  <w:r>
                    <w:rPr>
                      <w:rFonts w:eastAsia="Times New Roman"/>
                      <w:color w:val="auto"/>
                      <w:sz w:val="18"/>
                      <w:szCs w:val="18"/>
                      <w:highlight w:val="none"/>
                    </w:rPr>
                    <w:t>2</w:t>
                  </w:r>
                </w:p>
              </w:tc>
              <w:tc>
                <w:tcPr>
                  <w:tcW w:w="497" w:type="pct"/>
                  <w:tcBorders>
                    <w:top w:val="single" w:color="000000" w:sz="2" w:space="0"/>
                    <w:left w:val="single" w:color="000000" w:sz="2" w:space="0"/>
                    <w:bottom w:val="single" w:color="000000" w:sz="2" w:space="0"/>
                    <w:right w:val="single" w:color="000000" w:sz="2" w:space="0"/>
                  </w:tcBorders>
                  <w:noWrap w:val="0"/>
                  <w:vAlign w:val="center"/>
                </w:tcPr>
                <w:p w14:paraId="1D29EB7B">
                  <w:pPr>
                    <w:pStyle w:val="109"/>
                    <w:jc w:val="center"/>
                    <w:rPr>
                      <w:rFonts w:eastAsia="Times New Roman"/>
                      <w:color w:val="auto"/>
                      <w:sz w:val="18"/>
                      <w:szCs w:val="18"/>
                      <w:highlight w:val="none"/>
                    </w:rPr>
                  </w:pPr>
                  <w:r>
                    <w:rPr>
                      <w:rFonts w:eastAsia="Times New Roman"/>
                      <w:color w:val="auto"/>
                      <w:spacing w:val="-6"/>
                      <w:sz w:val="18"/>
                      <w:szCs w:val="18"/>
                      <w:highlight w:val="none"/>
                    </w:rPr>
                    <w:t>17</w:t>
                  </w:r>
                </w:p>
              </w:tc>
              <w:tc>
                <w:tcPr>
                  <w:tcW w:w="665" w:type="pct"/>
                  <w:tcBorders>
                    <w:top w:val="single" w:color="000000" w:sz="2" w:space="0"/>
                    <w:left w:val="single" w:color="000000" w:sz="2" w:space="0"/>
                    <w:bottom w:val="single" w:color="000000" w:sz="2" w:space="0"/>
                    <w:right w:val="single" w:color="000000" w:sz="2" w:space="0"/>
                  </w:tcBorders>
                  <w:noWrap w:val="0"/>
                  <w:vAlign w:val="center"/>
                </w:tcPr>
                <w:p w14:paraId="3C7956A3">
                  <w:pPr>
                    <w:pStyle w:val="109"/>
                    <w:jc w:val="center"/>
                    <w:rPr>
                      <w:rFonts w:eastAsia="Times New Roman"/>
                      <w:color w:val="auto"/>
                      <w:sz w:val="18"/>
                      <w:szCs w:val="18"/>
                      <w:highlight w:val="none"/>
                    </w:rPr>
                  </w:pPr>
                  <w:r>
                    <w:rPr>
                      <w:rFonts w:eastAsia="Times New Roman"/>
                      <w:color w:val="auto"/>
                      <w:sz w:val="18"/>
                      <w:szCs w:val="18"/>
                      <w:highlight w:val="none"/>
                    </w:rPr>
                    <w:t>6</w:t>
                  </w:r>
                </w:p>
              </w:tc>
              <w:tc>
                <w:tcPr>
                  <w:tcW w:w="621" w:type="pct"/>
                  <w:tcBorders>
                    <w:top w:val="single" w:color="000000" w:sz="2" w:space="0"/>
                    <w:left w:val="single" w:color="000000" w:sz="2" w:space="0"/>
                    <w:bottom w:val="single" w:color="000000" w:sz="2" w:space="0"/>
                    <w:right w:val="single" w:color="000000" w:sz="2" w:space="0"/>
                  </w:tcBorders>
                  <w:noWrap w:val="0"/>
                  <w:vAlign w:val="center"/>
                </w:tcPr>
                <w:p w14:paraId="59956215">
                  <w:pPr>
                    <w:pStyle w:val="109"/>
                    <w:jc w:val="center"/>
                    <w:rPr>
                      <w:rFonts w:eastAsia="Times New Roman"/>
                      <w:color w:val="auto"/>
                      <w:sz w:val="18"/>
                      <w:szCs w:val="18"/>
                      <w:highlight w:val="none"/>
                    </w:rPr>
                  </w:pPr>
                  <w:r>
                    <w:rPr>
                      <w:rFonts w:eastAsia="Times New Roman"/>
                      <w:color w:val="auto"/>
                      <w:spacing w:val="-6"/>
                      <w:sz w:val="18"/>
                      <w:szCs w:val="18"/>
                      <w:highlight w:val="none"/>
                    </w:rPr>
                    <w:t>12</w:t>
                  </w:r>
                </w:p>
              </w:tc>
              <w:tc>
                <w:tcPr>
                  <w:tcW w:w="569" w:type="pct"/>
                  <w:tcBorders>
                    <w:top w:val="single" w:color="000000" w:sz="2" w:space="0"/>
                    <w:left w:val="single" w:color="000000" w:sz="2" w:space="0"/>
                    <w:bottom w:val="single" w:color="000000" w:sz="2" w:space="0"/>
                    <w:right w:val="nil"/>
                  </w:tcBorders>
                  <w:noWrap w:val="0"/>
                  <w:vAlign w:val="center"/>
                </w:tcPr>
                <w:p w14:paraId="0CE5356E">
                  <w:pPr>
                    <w:pStyle w:val="109"/>
                    <w:jc w:val="center"/>
                    <w:rPr>
                      <w:rFonts w:eastAsia="Times New Roman"/>
                      <w:color w:val="auto"/>
                      <w:sz w:val="18"/>
                      <w:szCs w:val="18"/>
                      <w:highlight w:val="none"/>
                    </w:rPr>
                  </w:pPr>
                  <w:r>
                    <w:rPr>
                      <w:rFonts w:eastAsia="Times New Roman"/>
                      <w:color w:val="auto"/>
                      <w:spacing w:val="-2"/>
                      <w:sz w:val="18"/>
                      <w:szCs w:val="18"/>
                      <w:highlight w:val="none"/>
                    </w:rPr>
                    <w:t>36</w:t>
                  </w:r>
                </w:p>
              </w:tc>
            </w:tr>
            <w:tr w14:paraId="759253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406" w:type="pct"/>
                  <w:tcBorders>
                    <w:top w:val="single" w:color="000000" w:sz="2" w:space="0"/>
                    <w:left w:val="nil"/>
                    <w:bottom w:val="single" w:color="000000" w:sz="2" w:space="0"/>
                    <w:right w:val="single" w:color="000000" w:sz="2" w:space="0"/>
                  </w:tcBorders>
                  <w:noWrap w:val="0"/>
                  <w:vAlign w:val="center"/>
                </w:tcPr>
                <w:p w14:paraId="473D3B83">
                  <w:pPr>
                    <w:pStyle w:val="109"/>
                    <w:jc w:val="center"/>
                    <w:rPr>
                      <w:rFonts w:eastAsia="Times New Roman"/>
                      <w:color w:val="auto"/>
                      <w:sz w:val="18"/>
                      <w:szCs w:val="18"/>
                      <w:highlight w:val="none"/>
                    </w:rPr>
                  </w:pPr>
                  <w:r>
                    <w:rPr>
                      <w:rFonts w:hint="eastAsia"/>
                      <w:color w:val="auto"/>
                      <w:sz w:val="18"/>
                      <w:szCs w:val="18"/>
                      <w:highlight w:val="none"/>
                    </w:rPr>
                    <w:t>科</w:t>
                  </w:r>
                </w:p>
              </w:tc>
              <w:tc>
                <w:tcPr>
                  <w:tcW w:w="582" w:type="pct"/>
                  <w:tcBorders>
                    <w:top w:val="single" w:color="000000" w:sz="2" w:space="0"/>
                    <w:left w:val="single" w:color="000000" w:sz="2" w:space="0"/>
                    <w:bottom w:val="single" w:color="000000" w:sz="2" w:space="0"/>
                    <w:right w:val="single" w:color="000000" w:sz="2" w:space="0"/>
                  </w:tcBorders>
                  <w:noWrap w:val="0"/>
                  <w:vAlign w:val="center"/>
                </w:tcPr>
                <w:p w14:paraId="71EAC19F">
                  <w:pPr>
                    <w:pStyle w:val="109"/>
                    <w:jc w:val="center"/>
                    <w:rPr>
                      <w:rFonts w:eastAsia="Times New Roman"/>
                      <w:color w:val="auto"/>
                      <w:sz w:val="18"/>
                      <w:szCs w:val="18"/>
                      <w:highlight w:val="none"/>
                    </w:rPr>
                  </w:pPr>
                  <w:r>
                    <w:rPr>
                      <w:rFonts w:eastAsia="Times New Roman"/>
                      <w:color w:val="auto"/>
                      <w:spacing w:val="-6"/>
                      <w:sz w:val="18"/>
                      <w:szCs w:val="18"/>
                      <w:highlight w:val="none"/>
                    </w:rPr>
                    <w:t>16</w:t>
                  </w:r>
                </w:p>
              </w:tc>
              <w:tc>
                <w:tcPr>
                  <w:tcW w:w="498" w:type="pct"/>
                  <w:tcBorders>
                    <w:top w:val="single" w:color="000000" w:sz="2" w:space="0"/>
                    <w:left w:val="single" w:color="000000" w:sz="2" w:space="0"/>
                    <w:bottom w:val="single" w:color="000000" w:sz="2" w:space="0"/>
                    <w:right w:val="single" w:color="000000" w:sz="2" w:space="0"/>
                  </w:tcBorders>
                  <w:noWrap w:val="0"/>
                  <w:vAlign w:val="center"/>
                </w:tcPr>
                <w:p w14:paraId="3CDC487E">
                  <w:pPr>
                    <w:pStyle w:val="109"/>
                    <w:jc w:val="center"/>
                    <w:rPr>
                      <w:rFonts w:eastAsia="Times New Roman"/>
                      <w:color w:val="auto"/>
                      <w:sz w:val="18"/>
                      <w:szCs w:val="18"/>
                      <w:highlight w:val="none"/>
                    </w:rPr>
                  </w:pPr>
                  <w:r>
                    <w:rPr>
                      <w:rFonts w:eastAsia="Times New Roman"/>
                      <w:color w:val="auto"/>
                      <w:spacing w:val="-6"/>
                      <w:sz w:val="18"/>
                      <w:szCs w:val="18"/>
                      <w:highlight w:val="none"/>
                    </w:rPr>
                    <w:t>14</w:t>
                  </w:r>
                </w:p>
              </w:tc>
              <w:tc>
                <w:tcPr>
                  <w:tcW w:w="582" w:type="pct"/>
                  <w:tcBorders>
                    <w:top w:val="single" w:color="000000" w:sz="2" w:space="0"/>
                    <w:left w:val="single" w:color="000000" w:sz="2" w:space="0"/>
                    <w:bottom w:val="single" w:color="000000" w:sz="2" w:space="0"/>
                    <w:right w:val="single" w:color="000000" w:sz="2" w:space="0"/>
                  </w:tcBorders>
                  <w:noWrap w:val="0"/>
                  <w:vAlign w:val="center"/>
                </w:tcPr>
                <w:p w14:paraId="02403932">
                  <w:pPr>
                    <w:pStyle w:val="109"/>
                    <w:jc w:val="center"/>
                    <w:rPr>
                      <w:rFonts w:eastAsia="Times New Roman"/>
                      <w:color w:val="auto"/>
                      <w:sz w:val="18"/>
                      <w:szCs w:val="18"/>
                      <w:highlight w:val="none"/>
                    </w:rPr>
                  </w:pPr>
                  <w:r>
                    <w:rPr>
                      <w:rFonts w:eastAsia="Times New Roman"/>
                      <w:color w:val="auto"/>
                      <w:sz w:val="18"/>
                      <w:szCs w:val="18"/>
                      <w:highlight w:val="none"/>
                    </w:rPr>
                    <w:t>4</w:t>
                  </w:r>
                </w:p>
              </w:tc>
              <w:tc>
                <w:tcPr>
                  <w:tcW w:w="580" w:type="pct"/>
                  <w:tcBorders>
                    <w:top w:val="single" w:color="000000" w:sz="2" w:space="0"/>
                    <w:left w:val="single" w:color="000000" w:sz="2" w:space="0"/>
                    <w:bottom w:val="single" w:color="000000" w:sz="2" w:space="0"/>
                    <w:right w:val="single" w:color="000000" w:sz="2" w:space="0"/>
                  </w:tcBorders>
                  <w:noWrap w:val="0"/>
                  <w:vAlign w:val="center"/>
                </w:tcPr>
                <w:p w14:paraId="2EEA1071">
                  <w:pPr>
                    <w:pStyle w:val="109"/>
                    <w:jc w:val="center"/>
                    <w:rPr>
                      <w:rFonts w:eastAsia="Times New Roman"/>
                      <w:color w:val="auto"/>
                      <w:sz w:val="18"/>
                      <w:szCs w:val="18"/>
                      <w:highlight w:val="none"/>
                    </w:rPr>
                  </w:pPr>
                  <w:r>
                    <w:rPr>
                      <w:rFonts w:eastAsia="Times New Roman"/>
                      <w:color w:val="auto"/>
                      <w:sz w:val="18"/>
                      <w:szCs w:val="18"/>
                      <w:highlight w:val="none"/>
                    </w:rPr>
                    <w:t>3</w:t>
                  </w:r>
                </w:p>
              </w:tc>
              <w:tc>
                <w:tcPr>
                  <w:tcW w:w="497" w:type="pct"/>
                  <w:tcBorders>
                    <w:top w:val="single" w:color="000000" w:sz="2" w:space="0"/>
                    <w:left w:val="single" w:color="000000" w:sz="2" w:space="0"/>
                    <w:bottom w:val="single" w:color="000000" w:sz="2" w:space="0"/>
                    <w:right w:val="single" w:color="000000" w:sz="2" w:space="0"/>
                  </w:tcBorders>
                  <w:noWrap w:val="0"/>
                  <w:vAlign w:val="center"/>
                </w:tcPr>
                <w:p w14:paraId="10A2A027">
                  <w:pPr>
                    <w:pStyle w:val="109"/>
                    <w:jc w:val="center"/>
                    <w:rPr>
                      <w:rFonts w:eastAsia="Times New Roman"/>
                      <w:color w:val="auto"/>
                      <w:sz w:val="18"/>
                      <w:szCs w:val="18"/>
                      <w:highlight w:val="none"/>
                    </w:rPr>
                  </w:pPr>
                  <w:r>
                    <w:rPr>
                      <w:rFonts w:eastAsia="Times New Roman"/>
                      <w:color w:val="auto"/>
                      <w:spacing w:val="-1"/>
                      <w:sz w:val="18"/>
                      <w:szCs w:val="18"/>
                      <w:highlight w:val="none"/>
                    </w:rPr>
                    <w:t>44</w:t>
                  </w:r>
                </w:p>
              </w:tc>
              <w:tc>
                <w:tcPr>
                  <w:tcW w:w="665" w:type="pct"/>
                  <w:tcBorders>
                    <w:top w:val="single" w:color="000000" w:sz="2" w:space="0"/>
                    <w:left w:val="single" w:color="000000" w:sz="2" w:space="0"/>
                    <w:bottom w:val="single" w:color="000000" w:sz="2" w:space="0"/>
                    <w:right w:val="single" w:color="000000" w:sz="2" w:space="0"/>
                  </w:tcBorders>
                  <w:noWrap w:val="0"/>
                  <w:vAlign w:val="center"/>
                </w:tcPr>
                <w:p w14:paraId="3F08192E">
                  <w:pPr>
                    <w:pStyle w:val="109"/>
                    <w:jc w:val="center"/>
                    <w:rPr>
                      <w:rFonts w:eastAsia="Times New Roman"/>
                      <w:color w:val="auto"/>
                      <w:sz w:val="18"/>
                      <w:szCs w:val="18"/>
                      <w:highlight w:val="none"/>
                    </w:rPr>
                  </w:pPr>
                  <w:r>
                    <w:rPr>
                      <w:rFonts w:eastAsia="Times New Roman"/>
                      <w:color w:val="auto"/>
                      <w:spacing w:val="-6"/>
                      <w:sz w:val="18"/>
                      <w:szCs w:val="18"/>
                      <w:highlight w:val="none"/>
                    </w:rPr>
                    <w:t>15</w:t>
                  </w:r>
                </w:p>
              </w:tc>
              <w:tc>
                <w:tcPr>
                  <w:tcW w:w="621" w:type="pct"/>
                  <w:tcBorders>
                    <w:top w:val="single" w:color="000000" w:sz="2" w:space="0"/>
                    <w:left w:val="single" w:color="000000" w:sz="2" w:space="0"/>
                    <w:bottom w:val="single" w:color="000000" w:sz="2" w:space="0"/>
                    <w:right w:val="single" w:color="000000" w:sz="2" w:space="0"/>
                  </w:tcBorders>
                  <w:noWrap w:val="0"/>
                  <w:vAlign w:val="center"/>
                </w:tcPr>
                <w:p w14:paraId="4C2D4B94">
                  <w:pPr>
                    <w:pStyle w:val="109"/>
                    <w:jc w:val="center"/>
                    <w:rPr>
                      <w:rFonts w:eastAsia="Times New Roman"/>
                      <w:color w:val="auto"/>
                      <w:sz w:val="18"/>
                      <w:szCs w:val="18"/>
                      <w:highlight w:val="none"/>
                    </w:rPr>
                  </w:pPr>
                  <w:r>
                    <w:rPr>
                      <w:rFonts w:eastAsia="Times New Roman"/>
                      <w:color w:val="auto"/>
                      <w:spacing w:val="-2"/>
                      <w:sz w:val="18"/>
                      <w:szCs w:val="18"/>
                      <w:highlight w:val="none"/>
                    </w:rPr>
                    <w:t>75</w:t>
                  </w:r>
                </w:p>
              </w:tc>
              <w:tc>
                <w:tcPr>
                  <w:tcW w:w="569" w:type="pct"/>
                  <w:tcBorders>
                    <w:top w:val="single" w:color="000000" w:sz="2" w:space="0"/>
                    <w:left w:val="single" w:color="000000" w:sz="2" w:space="0"/>
                    <w:bottom w:val="single" w:color="000000" w:sz="2" w:space="0"/>
                    <w:right w:val="nil"/>
                  </w:tcBorders>
                  <w:noWrap w:val="0"/>
                  <w:vAlign w:val="center"/>
                </w:tcPr>
                <w:p w14:paraId="1B08EDAD">
                  <w:pPr>
                    <w:pStyle w:val="109"/>
                    <w:jc w:val="center"/>
                    <w:rPr>
                      <w:rFonts w:eastAsia="Times New Roman"/>
                      <w:color w:val="auto"/>
                      <w:sz w:val="18"/>
                      <w:szCs w:val="18"/>
                      <w:highlight w:val="none"/>
                    </w:rPr>
                  </w:pPr>
                  <w:r>
                    <w:rPr>
                      <w:rFonts w:eastAsia="Times New Roman"/>
                      <w:color w:val="auto"/>
                      <w:sz w:val="18"/>
                      <w:szCs w:val="18"/>
                      <w:highlight w:val="none"/>
                    </w:rPr>
                    <w:t>85</w:t>
                  </w:r>
                </w:p>
              </w:tc>
            </w:tr>
            <w:tr w14:paraId="7A8BF4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406" w:type="pct"/>
                  <w:tcBorders>
                    <w:top w:val="single" w:color="000000" w:sz="2" w:space="0"/>
                    <w:left w:val="nil"/>
                    <w:bottom w:val="single" w:color="000000" w:sz="12" w:space="0"/>
                    <w:right w:val="single" w:color="000000" w:sz="2" w:space="0"/>
                  </w:tcBorders>
                  <w:noWrap w:val="0"/>
                  <w:vAlign w:val="center"/>
                </w:tcPr>
                <w:p w14:paraId="05527E4B">
                  <w:pPr>
                    <w:pStyle w:val="109"/>
                    <w:jc w:val="center"/>
                    <w:rPr>
                      <w:rFonts w:eastAsia="Times New Roman"/>
                      <w:color w:val="auto"/>
                      <w:sz w:val="18"/>
                      <w:szCs w:val="18"/>
                      <w:highlight w:val="none"/>
                    </w:rPr>
                  </w:pPr>
                  <w:r>
                    <w:rPr>
                      <w:rFonts w:hint="eastAsia"/>
                      <w:color w:val="auto"/>
                      <w:sz w:val="18"/>
                      <w:szCs w:val="18"/>
                      <w:highlight w:val="none"/>
                    </w:rPr>
                    <w:t>种</w:t>
                  </w:r>
                </w:p>
              </w:tc>
              <w:tc>
                <w:tcPr>
                  <w:tcW w:w="582" w:type="pct"/>
                  <w:tcBorders>
                    <w:top w:val="single" w:color="000000" w:sz="2" w:space="0"/>
                    <w:left w:val="single" w:color="000000" w:sz="2" w:space="0"/>
                    <w:bottom w:val="single" w:color="000000" w:sz="12" w:space="0"/>
                    <w:right w:val="single" w:color="000000" w:sz="2" w:space="0"/>
                  </w:tcBorders>
                  <w:noWrap w:val="0"/>
                  <w:vAlign w:val="center"/>
                </w:tcPr>
                <w:p w14:paraId="3FAB7797">
                  <w:pPr>
                    <w:pStyle w:val="109"/>
                    <w:jc w:val="center"/>
                    <w:rPr>
                      <w:rFonts w:eastAsia="Times New Roman"/>
                      <w:color w:val="auto"/>
                      <w:sz w:val="18"/>
                      <w:szCs w:val="18"/>
                      <w:highlight w:val="none"/>
                    </w:rPr>
                  </w:pPr>
                  <w:r>
                    <w:rPr>
                      <w:rFonts w:eastAsia="Times New Roman"/>
                      <w:color w:val="auto"/>
                      <w:spacing w:val="-1"/>
                      <w:sz w:val="18"/>
                      <w:szCs w:val="18"/>
                      <w:highlight w:val="none"/>
                    </w:rPr>
                    <w:t>44</w:t>
                  </w:r>
                </w:p>
              </w:tc>
              <w:tc>
                <w:tcPr>
                  <w:tcW w:w="498" w:type="pct"/>
                  <w:tcBorders>
                    <w:top w:val="single" w:color="000000" w:sz="2" w:space="0"/>
                    <w:left w:val="single" w:color="000000" w:sz="2" w:space="0"/>
                    <w:bottom w:val="single" w:color="000000" w:sz="12" w:space="0"/>
                    <w:right w:val="single" w:color="000000" w:sz="2" w:space="0"/>
                  </w:tcBorders>
                  <w:noWrap w:val="0"/>
                  <w:vAlign w:val="center"/>
                </w:tcPr>
                <w:p w14:paraId="3ACBAD62">
                  <w:pPr>
                    <w:pStyle w:val="109"/>
                    <w:jc w:val="center"/>
                    <w:rPr>
                      <w:rFonts w:eastAsia="Times New Roman"/>
                      <w:color w:val="auto"/>
                      <w:sz w:val="18"/>
                      <w:szCs w:val="18"/>
                      <w:highlight w:val="none"/>
                    </w:rPr>
                  </w:pPr>
                  <w:r>
                    <w:rPr>
                      <w:rFonts w:eastAsia="Times New Roman"/>
                      <w:color w:val="auto"/>
                      <w:sz w:val="18"/>
                      <w:szCs w:val="18"/>
                      <w:highlight w:val="none"/>
                    </w:rPr>
                    <w:t>58</w:t>
                  </w:r>
                </w:p>
              </w:tc>
              <w:tc>
                <w:tcPr>
                  <w:tcW w:w="582" w:type="pct"/>
                  <w:tcBorders>
                    <w:top w:val="single" w:color="000000" w:sz="2" w:space="0"/>
                    <w:left w:val="single" w:color="000000" w:sz="2" w:space="0"/>
                    <w:bottom w:val="single" w:color="000000" w:sz="12" w:space="0"/>
                    <w:right w:val="single" w:color="000000" w:sz="2" w:space="0"/>
                  </w:tcBorders>
                  <w:noWrap w:val="0"/>
                  <w:vAlign w:val="center"/>
                </w:tcPr>
                <w:p w14:paraId="1148849D">
                  <w:pPr>
                    <w:pStyle w:val="109"/>
                    <w:jc w:val="center"/>
                    <w:rPr>
                      <w:rFonts w:eastAsia="Times New Roman"/>
                      <w:color w:val="auto"/>
                      <w:sz w:val="18"/>
                      <w:szCs w:val="18"/>
                      <w:highlight w:val="none"/>
                    </w:rPr>
                  </w:pPr>
                  <w:r>
                    <w:rPr>
                      <w:rFonts w:eastAsia="Times New Roman"/>
                      <w:color w:val="auto"/>
                      <w:sz w:val="18"/>
                      <w:szCs w:val="18"/>
                      <w:highlight w:val="none"/>
                    </w:rPr>
                    <w:t>5</w:t>
                  </w:r>
                </w:p>
              </w:tc>
              <w:tc>
                <w:tcPr>
                  <w:tcW w:w="580" w:type="pct"/>
                  <w:tcBorders>
                    <w:top w:val="single" w:color="000000" w:sz="2" w:space="0"/>
                    <w:left w:val="single" w:color="000000" w:sz="2" w:space="0"/>
                    <w:bottom w:val="single" w:color="000000" w:sz="12" w:space="0"/>
                    <w:right w:val="single" w:color="000000" w:sz="2" w:space="0"/>
                  </w:tcBorders>
                  <w:noWrap w:val="0"/>
                  <w:vAlign w:val="center"/>
                </w:tcPr>
                <w:p w14:paraId="401D9E7E">
                  <w:pPr>
                    <w:pStyle w:val="109"/>
                    <w:jc w:val="center"/>
                    <w:rPr>
                      <w:rFonts w:eastAsia="Times New Roman"/>
                      <w:color w:val="auto"/>
                      <w:sz w:val="18"/>
                      <w:szCs w:val="18"/>
                      <w:highlight w:val="none"/>
                    </w:rPr>
                  </w:pPr>
                  <w:r>
                    <w:rPr>
                      <w:rFonts w:eastAsia="Times New Roman"/>
                      <w:color w:val="auto"/>
                      <w:sz w:val="18"/>
                      <w:szCs w:val="18"/>
                      <w:highlight w:val="none"/>
                    </w:rPr>
                    <w:t>4</w:t>
                  </w:r>
                </w:p>
              </w:tc>
              <w:tc>
                <w:tcPr>
                  <w:tcW w:w="497" w:type="pct"/>
                  <w:tcBorders>
                    <w:top w:val="single" w:color="000000" w:sz="2" w:space="0"/>
                    <w:left w:val="single" w:color="000000" w:sz="2" w:space="0"/>
                    <w:bottom w:val="single" w:color="000000" w:sz="12" w:space="0"/>
                    <w:right w:val="single" w:color="000000" w:sz="2" w:space="0"/>
                  </w:tcBorders>
                  <w:noWrap w:val="0"/>
                  <w:vAlign w:val="center"/>
                </w:tcPr>
                <w:p w14:paraId="5D81478C">
                  <w:pPr>
                    <w:pStyle w:val="109"/>
                    <w:jc w:val="center"/>
                    <w:rPr>
                      <w:rFonts w:eastAsia="Times New Roman"/>
                      <w:color w:val="auto"/>
                      <w:sz w:val="18"/>
                      <w:szCs w:val="18"/>
                      <w:highlight w:val="none"/>
                    </w:rPr>
                  </w:pPr>
                  <w:r>
                    <w:rPr>
                      <w:rFonts w:eastAsia="Times New Roman"/>
                      <w:color w:val="auto"/>
                      <w:spacing w:val="-6"/>
                      <w:sz w:val="18"/>
                      <w:szCs w:val="18"/>
                      <w:highlight w:val="none"/>
                    </w:rPr>
                    <w:t>191</w:t>
                  </w:r>
                </w:p>
              </w:tc>
              <w:tc>
                <w:tcPr>
                  <w:tcW w:w="665" w:type="pct"/>
                  <w:tcBorders>
                    <w:top w:val="single" w:color="000000" w:sz="2" w:space="0"/>
                    <w:left w:val="single" w:color="000000" w:sz="2" w:space="0"/>
                    <w:bottom w:val="single" w:color="000000" w:sz="12" w:space="0"/>
                    <w:right w:val="single" w:color="000000" w:sz="2" w:space="0"/>
                  </w:tcBorders>
                  <w:noWrap w:val="0"/>
                  <w:vAlign w:val="center"/>
                </w:tcPr>
                <w:p w14:paraId="5ADA2D66">
                  <w:pPr>
                    <w:pStyle w:val="109"/>
                    <w:jc w:val="center"/>
                    <w:rPr>
                      <w:rFonts w:eastAsia="Times New Roman"/>
                      <w:color w:val="auto"/>
                      <w:sz w:val="18"/>
                      <w:szCs w:val="18"/>
                      <w:highlight w:val="none"/>
                    </w:rPr>
                  </w:pPr>
                  <w:r>
                    <w:rPr>
                      <w:rFonts w:eastAsia="Times New Roman"/>
                      <w:color w:val="auto"/>
                      <w:sz w:val="18"/>
                      <w:szCs w:val="18"/>
                      <w:highlight w:val="none"/>
                    </w:rPr>
                    <w:t>53</w:t>
                  </w:r>
                </w:p>
              </w:tc>
              <w:tc>
                <w:tcPr>
                  <w:tcW w:w="621" w:type="pct"/>
                  <w:tcBorders>
                    <w:top w:val="single" w:color="000000" w:sz="2" w:space="0"/>
                    <w:left w:val="single" w:color="000000" w:sz="2" w:space="0"/>
                    <w:bottom w:val="single" w:color="000000" w:sz="12" w:space="0"/>
                    <w:right w:val="single" w:color="000000" w:sz="2" w:space="0"/>
                  </w:tcBorders>
                  <w:noWrap w:val="0"/>
                  <w:vAlign w:val="center"/>
                </w:tcPr>
                <w:p w14:paraId="5CE77429">
                  <w:pPr>
                    <w:pStyle w:val="109"/>
                    <w:jc w:val="center"/>
                    <w:rPr>
                      <w:rFonts w:eastAsia="Times New Roman"/>
                      <w:color w:val="auto"/>
                      <w:sz w:val="18"/>
                      <w:szCs w:val="18"/>
                      <w:highlight w:val="none"/>
                    </w:rPr>
                  </w:pPr>
                  <w:r>
                    <w:rPr>
                      <w:rFonts w:eastAsia="Times New Roman"/>
                      <w:color w:val="auto"/>
                      <w:spacing w:val="-2"/>
                      <w:sz w:val="18"/>
                      <w:szCs w:val="18"/>
                      <w:highlight w:val="none"/>
                    </w:rPr>
                    <w:t>369</w:t>
                  </w:r>
                </w:p>
              </w:tc>
              <w:tc>
                <w:tcPr>
                  <w:tcW w:w="569" w:type="pct"/>
                  <w:tcBorders>
                    <w:top w:val="single" w:color="000000" w:sz="2" w:space="0"/>
                    <w:left w:val="single" w:color="000000" w:sz="2" w:space="0"/>
                    <w:bottom w:val="single" w:color="000000" w:sz="12" w:space="0"/>
                    <w:right w:val="nil"/>
                  </w:tcBorders>
                  <w:noWrap w:val="0"/>
                  <w:vAlign w:val="center"/>
                </w:tcPr>
                <w:p w14:paraId="26136A85">
                  <w:pPr>
                    <w:pStyle w:val="109"/>
                    <w:jc w:val="center"/>
                    <w:rPr>
                      <w:rFonts w:eastAsia="Times New Roman"/>
                      <w:color w:val="auto"/>
                      <w:sz w:val="18"/>
                      <w:szCs w:val="18"/>
                      <w:highlight w:val="none"/>
                    </w:rPr>
                  </w:pPr>
                  <w:r>
                    <w:rPr>
                      <w:rFonts w:eastAsia="Times New Roman"/>
                      <w:color w:val="auto"/>
                      <w:spacing w:val="-2"/>
                      <w:sz w:val="18"/>
                      <w:szCs w:val="18"/>
                      <w:highlight w:val="none"/>
                    </w:rPr>
                    <w:t>373</w:t>
                  </w:r>
                </w:p>
              </w:tc>
            </w:tr>
          </w:tbl>
          <w:p w14:paraId="60BD9020">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b w:val="0"/>
                <w:bCs/>
                <w:color w:val="auto"/>
                <w:sz w:val="21"/>
                <w:szCs w:val="21"/>
                <w:highlight w:val="none"/>
              </w:rPr>
            </w:pPr>
            <w:bookmarkStart w:id="32" w:name="_Toc98530873"/>
            <w:r>
              <w:rPr>
                <w:rFonts w:hint="eastAsia"/>
                <w:b w:val="0"/>
                <w:bCs/>
                <w:color w:val="auto"/>
                <w:sz w:val="21"/>
                <w:szCs w:val="21"/>
                <w:highlight w:val="none"/>
                <w:lang w:val="en-US" w:eastAsia="zh-CN"/>
              </w:rPr>
              <w:t>5</w:t>
            </w:r>
            <w:r>
              <w:rPr>
                <w:rFonts w:hint="eastAsia"/>
                <w:b w:val="0"/>
                <w:bCs/>
                <w:color w:val="auto"/>
                <w:sz w:val="21"/>
                <w:szCs w:val="21"/>
                <w:highlight w:val="none"/>
              </w:rPr>
              <w:t>.7.1</w:t>
            </w:r>
            <w:r>
              <w:rPr>
                <w:b w:val="0"/>
                <w:bCs/>
                <w:color w:val="auto"/>
                <w:sz w:val="21"/>
                <w:szCs w:val="21"/>
                <w:highlight w:val="none"/>
              </w:rPr>
              <w:t>鸟类资源</w:t>
            </w:r>
            <w:bookmarkEnd w:id="32"/>
          </w:p>
          <w:p w14:paraId="5FF8C36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黑龙江饶河县地势平坦，沿江既有大面积的芦苇沼泽和草甸，又有众多的湖泡分布其中，为鸟类，特别是水禽提供了良好的栖息和觅食场所。因此，本区的鸟类资源十分丰富，特别是水禽种类、数量均较多。据统计本区共录有鸟类17目44科191种。但在鸟类组成上季节性变化极大，其中，夏候鸟112种，占保护区鸟类总数的58.64%，旅鸟54种，占保护区鸟类总数的28.27%，留鸟19种，占保护区鸟类总数的9.95%。饶河东北黑蜂保护区鸟类季节分布见</w:t>
            </w:r>
            <w:r>
              <w:rPr>
                <w:rFonts w:hint="eastAsia"/>
                <w:color w:val="auto"/>
                <w:sz w:val="21"/>
                <w:szCs w:val="21"/>
                <w:highlight w:val="none"/>
              </w:rPr>
              <w:t>下表</w:t>
            </w:r>
            <w:r>
              <w:rPr>
                <w:color w:val="auto"/>
                <w:sz w:val="21"/>
                <w:szCs w:val="21"/>
                <w:highlight w:val="none"/>
              </w:rPr>
              <w:t>。</w:t>
            </w:r>
          </w:p>
          <w:p w14:paraId="67A0B4DB">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表3-6饶河东北黑蜂保护区鸟类季节分布</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490"/>
              <w:gridCol w:w="768"/>
              <w:gridCol w:w="873"/>
              <w:gridCol w:w="1040"/>
              <w:gridCol w:w="1162"/>
              <w:gridCol w:w="919"/>
              <w:gridCol w:w="1038"/>
            </w:tblGrid>
            <w:tr w14:paraId="6BE2DA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32" w:hRule="atLeast"/>
              </w:trPr>
              <w:tc>
                <w:tcPr>
                  <w:tcW w:w="1022" w:type="pct"/>
                  <w:tcBorders>
                    <w:top w:val="single" w:color="000000" w:sz="12" w:space="0"/>
                    <w:left w:val="nil"/>
                    <w:bottom w:val="single" w:color="000000" w:sz="2" w:space="0"/>
                    <w:right w:val="single" w:color="000000" w:sz="2" w:space="0"/>
                  </w:tcBorders>
                  <w:noWrap w:val="0"/>
                  <w:vAlign w:val="top"/>
                </w:tcPr>
                <w:p w14:paraId="68DB11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种数</w:t>
                  </w:r>
                </w:p>
                <w:p w14:paraId="57B0B3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类群</w:t>
                  </w:r>
                </w:p>
              </w:tc>
              <w:tc>
                <w:tcPr>
                  <w:tcW w:w="1126" w:type="pct"/>
                  <w:gridSpan w:val="2"/>
                  <w:tcBorders>
                    <w:top w:val="single" w:color="000000" w:sz="12" w:space="0"/>
                    <w:left w:val="single" w:color="000000" w:sz="2" w:space="0"/>
                    <w:bottom w:val="single" w:color="000000" w:sz="2" w:space="0"/>
                    <w:right w:val="single" w:color="000000" w:sz="2" w:space="0"/>
                  </w:tcBorders>
                  <w:noWrap w:val="0"/>
                  <w:vAlign w:val="top"/>
                </w:tcPr>
                <w:p w14:paraId="26CE57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非雀形目</w:t>
                  </w:r>
                </w:p>
                <w:p w14:paraId="045988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种数      %</w:t>
                  </w:r>
                </w:p>
              </w:tc>
              <w:tc>
                <w:tcPr>
                  <w:tcW w:w="1510" w:type="pct"/>
                  <w:gridSpan w:val="2"/>
                  <w:tcBorders>
                    <w:top w:val="single" w:color="000000" w:sz="12" w:space="0"/>
                    <w:left w:val="single" w:color="000000" w:sz="2" w:space="0"/>
                    <w:bottom w:val="single" w:color="000000" w:sz="2" w:space="0"/>
                    <w:right w:val="single" w:color="000000" w:sz="2" w:space="0"/>
                  </w:tcBorders>
                  <w:noWrap w:val="0"/>
                  <w:vAlign w:val="top"/>
                </w:tcPr>
                <w:p w14:paraId="28594E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雀形目</w:t>
                  </w:r>
                </w:p>
                <w:p w14:paraId="1CC66E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种数          %</w:t>
                  </w:r>
                </w:p>
              </w:tc>
              <w:tc>
                <w:tcPr>
                  <w:tcW w:w="1342" w:type="pct"/>
                  <w:gridSpan w:val="2"/>
                  <w:tcBorders>
                    <w:top w:val="single" w:color="000000" w:sz="12" w:space="0"/>
                    <w:left w:val="single" w:color="000000" w:sz="2" w:space="0"/>
                    <w:bottom w:val="single" w:color="000000" w:sz="2" w:space="0"/>
                    <w:right w:val="nil"/>
                  </w:tcBorders>
                  <w:noWrap w:val="0"/>
                  <w:vAlign w:val="top"/>
                </w:tcPr>
                <w:p w14:paraId="6239EE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合   计</w:t>
                  </w:r>
                </w:p>
                <w:p w14:paraId="4C16A6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种数          %</w:t>
                  </w:r>
                </w:p>
              </w:tc>
            </w:tr>
            <w:tr w14:paraId="78E5B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3" w:hRule="atLeast"/>
              </w:trPr>
              <w:tc>
                <w:tcPr>
                  <w:tcW w:w="1022" w:type="pct"/>
                  <w:tcBorders>
                    <w:top w:val="single" w:color="000000" w:sz="2" w:space="0"/>
                    <w:left w:val="nil"/>
                    <w:bottom w:val="single" w:color="000000" w:sz="2" w:space="0"/>
                    <w:right w:val="single" w:color="000000" w:sz="2" w:space="0"/>
                  </w:tcBorders>
                  <w:noWrap w:val="0"/>
                  <w:vAlign w:val="top"/>
                </w:tcPr>
                <w:p w14:paraId="1B4D1D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夏候鸟</w:t>
                  </w:r>
                </w:p>
              </w:tc>
              <w:tc>
                <w:tcPr>
                  <w:tcW w:w="527" w:type="pct"/>
                  <w:tcBorders>
                    <w:top w:val="single" w:color="000000" w:sz="2" w:space="0"/>
                    <w:left w:val="single" w:color="000000" w:sz="2" w:space="0"/>
                    <w:bottom w:val="single" w:color="000000" w:sz="2" w:space="0"/>
                    <w:right w:val="single" w:color="000000" w:sz="2" w:space="0"/>
                  </w:tcBorders>
                  <w:noWrap w:val="0"/>
                  <w:vAlign w:val="top"/>
                </w:tcPr>
                <w:p w14:paraId="7E238C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69</w:t>
                  </w:r>
                </w:p>
              </w:tc>
              <w:tc>
                <w:tcPr>
                  <w:tcW w:w="599" w:type="pct"/>
                  <w:tcBorders>
                    <w:top w:val="single" w:color="000000" w:sz="2" w:space="0"/>
                    <w:left w:val="single" w:color="000000" w:sz="2" w:space="0"/>
                    <w:bottom w:val="single" w:color="000000" w:sz="2" w:space="0"/>
                    <w:right w:val="single" w:color="000000" w:sz="2" w:space="0"/>
                  </w:tcBorders>
                  <w:noWrap w:val="0"/>
                  <w:vAlign w:val="top"/>
                </w:tcPr>
                <w:p w14:paraId="63AEAE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62.16</w:t>
                  </w:r>
                </w:p>
              </w:tc>
              <w:tc>
                <w:tcPr>
                  <w:tcW w:w="713" w:type="pct"/>
                  <w:tcBorders>
                    <w:top w:val="single" w:color="000000" w:sz="2" w:space="0"/>
                    <w:left w:val="single" w:color="000000" w:sz="2" w:space="0"/>
                    <w:bottom w:val="single" w:color="000000" w:sz="2" w:space="0"/>
                    <w:right w:val="single" w:color="000000" w:sz="2" w:space="0"/>
                  </w:tcBorders>
                  <w:noWrap w:val="0"/>
                  <w:vAlign w:val="top"/>
                </w:tcPr>
                <w:p w14:paraId="0DA74C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43</w:t>
                  </w:r>
                </w:p>
              </w:tc>
              <w:tc>
                <w:tcPr>
                  <w:tcW w:w="797" w:type="pct"/>
                  <w:tcBorders>
                    <w:top w:val="single" w:color="000000" w:sz="2" w:space="0"/>
                    <w:left w:val="single" w:color="000000" w:sz="2" w:space="0"/>
                    <w:bottom w:val="single" w:color="000000" w:sz="2" w:space="0"/>
                    <w:right w:val="single" w:color="000000" w:sz="2" w:space="0"/>
                  </w:tcBorders>
                  <w:noWrap w:val="0"/>
                  <w:vAlign w:val="top"/>
                </w:tcPr>
                <w:p w14:paraId="6F4DF8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53.75</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740010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112</w:t>
                  </w:r>
                </w:p>
              </w:tc>
              <w:tc>
                <w:tcPr>
                  <w:tcW w:w="712" w:type="pct"/>
                  <w:tcBorders>
                    <w:top w:val="single" w:color="000000" w:sz="2" w:space="0"/>
                    <w:left w:val="single" w:color="000000" w:sz="2" w:space="0"/>
                    <w:bottom w:val="single" w:color="000000" w:sz="2" w:space="0"/>
                    <w:right w:val="nil"/>
                  </w:tcBorders>
                  <w:noWrap w:val="0"/>
                  <w:vAlign w:val="top"/>
                </w:tcPr>
                <w:p w14:paraId="086FFC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58.64</w:t>
                  </w:r>
                </w:p>
              </w:tc>
            </w:tr>
            <w:tr w14:paraId="7F60F1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3" w:hRule="atLeast"/>
              </w:trPr>
              <w:tc>
                <w:tcPr>
                  <w:tcW w:w="1022" w:type="pct"/>
                  <w:tcBorders>
                    <w:top w:val="single" w:color="000000" w:sz="2" w:space="0"/>
                    <w:left w:val="nil"/>
                    <w:bottom w:val="single" w:color="000000" w:sz="2" w:space="0"/>
                    <w:right w:val="single" w:color="000000" w:sz="2" w:space="0"/>
                  </w:tcBorders>
                  <w:noWrap w:val="0"/>
                  <w:vAlign w:val="top"/>
                </w:tcPr>
                <w:p w14:paraId="275608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冬候鸟</w:t>
                  </w:r>
                </w:p>
              </w:tc>
              <w:tc>
                <w:tcPr>
                  <w:tcW w:w="527" w:type="pct"/>
                  <w:tcBorders>
                    <w:top w:val="single" w:color="000000" w:sz="2" w:space="0"/>
                    <w:left w:val="single" w:color="000000" w:sz="2" w:space="0"/>
                    <w:bottom w:val="single" w:color="000000" w:sz="2" w:space="0"/>
                    <w:right w:val="single" w:color="000000" w:sz="2" w:space="0"/>
                  </w:tcBorders>
                  <w:noWrap w:val="0"/>
                  <w:vAlign w:val="top"/>
                </w:tcPr>
                <w:p w14:paraId="305C50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3</w:t>
                  </w:r>
                </w:p>
              </w:tc>
              <w:tc>
                <w:tcPr>
                  <w:tcW w:w="599" w:type="pct"/>
                  <w:tcBorders>
                    <w:top w:val="single" w:color="000000" w:sz="2" w:space="0"/>
                    <w:left w:val="single" w:color="000000" w:sz="2" w:space="0"/>
                    <w:bottom w:val="single" w:color="000000" w:sz="2" w:space="0"/>
                    <w:right w:val="single" w:color="000000" w:sz="2" w:space="0"/>
                  </w:tcBorders>
                  <w:noWrap w:val="0"/>
                  <w:vAlign w:val="top"/>
                </w:tcPr>
                <w:p w14:paraId="643B28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2.70</w:t>
                  </w:r>
                </w:p>
              </w:tc>
              <w:tc>
                <w:tcPr>
                  <w:tcW w:w="713" w:type="pct"/>
                  <w:tcBorders>
                    <w:top w:val="single" w:color="000000" w:sz="2" w:space="0"/>
                    <w:left w:val="single" w:color="000000" w:sz="2" w:space="0"/>
                    <w:bottom w:val="single" w:color="000000" w:sz="2" w:space="0"/>
                    <w:right w:val="single" w:color="000000" w:sz="2" w:space="0"/>
                  </w:tcBorders>
                  <w:noWrap w:val="0"/>
                  <w:vAlign w:val="top"/>
                </w:tcPr>
                <w:p w14:paraId="06DEA0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w:t>
                  </w:r>
                </w:p>
              </w:tc>
              <w:tc>
                <w:tcPr>
                  <w:tcW w:w="797" w:type="pct"/>
                  <w:tcBorders>
                    <w:top w:val="single" w:color="000000" w:sz="2" w:space="0"/>
                    <w:left w:val="single" w:color="000000" w:sz="2" w:space="0"/>
                    <w:bottom w:val="single" w:color="000000" w:sz="2" w:space="0"/>
                    <w:right w:val="single" w:color="000000" w:sz="2" w:space="0"/>
                  </w:tcBorders>
                  <w:noWrap w:val="0"/>
                  <w:vAlign w:val="top"/>
                </w:tcPr>
                <w:p w14:paraId="38445D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2.5</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100BF3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w:t>
                  </w:r>
                </w:p>
              </w:tc>
              <w:tc>
                <w:tcPr>
                  <w:tcW w:w="712" w:type="pct"/>
                  <w:tcBorders>
                    <w:top w:val="single" w:color="000000" w:sz="2" w:space="0"/>
                    <w:left w:val="single" w:color="000000" w:sz="2" w:space="0"/>
                    <w:bottom w:val="single" w:color="000000" w:sz="2" w:space="0"/>
                    <w:right w:val="nil"/>
                  </w:tcBorders>
                  <w:noWrap w:val="0"/>
                  <w:vAlign w:val="top"/>
                </w:tcPr>
                <w:p w14:paraId="39D9EE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2.62</w:t>
                  </w:r>
                </w:p>
              </w:tc>
            </w:tr>
            <w:tr w14:paraId="7D66D1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3" w:hRule="atLeast"/>
              </w:trPr>
              <w:tc>
                <w:tcPr>
                  <w:tcW w:w="1022" w:type="pct"/>
                  <w:tcBorders>
                    <w:top w:val="single" w:color="000000" w:sz="2" w:space="0"/>
                    <w:left w:val="nil"/>
                    <w:bottom w:val="single" w:color="000000" w:sz="2" w:space="0"/>
                    <w:right w:val="single" w:color="000000" w:sz="2" w:space="0"/>
                  </w:tcBorders>
                  <w:noWrap w:val="0"/>
                  <w:vAlign w:val="top"/>
                </w:tcPr>
                <w:p w14:paraId="0F5BC5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旅鸟</w:t>
                  </w:r>
                </w:p>
              </w:tc>
              <w:tc>
                <w:tcPr>
                  <w:tcW w:w="527" w:type="pct"/>
                  <w:tcBorders>
                    <w:top w:val="single" w:color="000000" w:sz="2" w:space="0"/>
                    <w:left w:val="single" w:color="000000" w:sz="2" w:space="0"/>
                    <w:bottom w:val="single" w:color="000000" w:sz="2" w:space="0"/>
                    <w:right w:val="single" w:color="000000" w:sz="2" w:space="0"/>
                  </w:tcBorders>
                  <w:noWrap w:val="0"/>
                  <w:vAlign w:val="top"/>
                </w:tcPr>
                <w:p w14:paraId="0E4450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30</w:t>
                  </w:r>
                </w:p>
              </w:tc>
              <w:tc>
                <w:tcPr>
                  <w:tcW w:w="599" w:type="pct"/>
                  <w:tcBorders>
                    <w:top w:val="single" w:color="000000" w:sz="2" w:space="0"/>
                    <w:left w:val="single" w:color="000000" w:sz="2" w:space="0"/>
                    <w:bottom w:val="single" w:color="000000" w:sz="2" w:space="0"/>
                    <w:right w:val="single" w:color="000000" w:sz="2" w:space="0"/>
                  </w:tcBorders>
                  <w:noWrap w:val="0"/>
                  <w:vAlign w:val="top"/>
                </w:tcPr>
                <w:p w14:paraId="1DC18A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27.03</w:t>
                  </w:r>
                </w:p>
              </w:tc>
              <w:tc>
                <w:tcPr>
                  <w:tcW w:w="713" w:type="pct"/>
                  <w:tcBorders>
                    <w:top w:val="single" w:color="000000" w:sz="2" w:space="0"/>
                    <w:left w:val="single" w:color="000000" w:sz="2" w:space="0"/>
                    <w:bottom w:val="single" w:color="000000" w:sz="2" w:space="0"/>
                    <w:right w:val="single" w:color="000000" w:sz="2" w:space="0"/>
                  </w:tcBorders>
                  <w:noWrap w:val="0"/>
                  <w:vAlign w:val="top"/>
                </w:tcPr>
                <w:p w14:paraId="67E705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24</w:t>
                  </w:r>
                </w:p>
              </w:tc>
              <w:tc>
                <w:tcPr>
                  <w:tcW w:w="797" w:type="pct"/>
                  <w:tcBorders>
                    <w:top w:val="single" w:color="000000" w:sz="2" w:space="0"/>
                    <w:left w:val="single" w:color="000000" w:sz="2" w:space="0"/>
                    <w:bottom w:val="single" w:color="000000" w:sz="2" w:space="0"/>
                    <w:right w:val="single" w:color="000000" w:sz="2" w:space="0"/>
                  </w:tcBorders>
                  <w:noWrap w:val="0"/>
                  <w:vAlign w:val="top"/>
                </w:tcPr>
                <w:p w14:paraId="2A47B6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32.29</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24B867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54</w:t>
                  </w:r>
                </w:p>
              </w:tc>
              <w:tc>
                <w:tcPr>
                  <w:tcW w:w="712" w:type="pct"/>
                  <w:tcBorders>
                    <w:top w:val="single" w:color="000000" w:sz="2" w:space="0"/>
                    <w:left w:val="single" w:color="000000" w:sz="2" w:space="0"/>
                    <w:bottom w:val="single" w:color="000000" w:sz="2" w:space="0"/>
                    <w:right w:val="nil"/>
                  </w:tcBorders>
                  <w:noWrap w:val="0"/>
                  <w:vAlign w:val="top"/>
                </w:tcPr>
                <w:p w14:paraId="536E44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28.27</w:t>
                  </w:r>
                </w:p>
              </w:tc>
            </w:tr>
            <w:tr w14:paraId="461FE8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3" w:hRule="atLeast"/>
              </w:trPr>
              <w:tc>
                <w:tcPr>
                  <w:tcW w:w="1022" w:type="pct"/>
                  <w:tcBorders>
                    <w:top w:val="single" w:color="000000" w:sz="2" w:space="0"/>
                    <w:left w:val="nil"/>
                    <w:bottom w:val="single" w:color="000000" w:sz="2" w:space="0"/>
                    <w:right w:val="single" w:color="000000" w:sz="2" w:space="0"/>
                  </w:tcBorders>
                  <w:noWrap w:val="0"/>
                  <w:vAlign w:val="top"/>
                </w:tcPr>
                <w:p w14:paraId="161EE1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留鸟</w:t>
                  </w:r>
                </w:p>
              </w:tc>
              <w:tc>
                <w:tcPr>
                  <w:tcW w:w="527" w:type="pct"/>
                  <w:tcBorders>
                    <w:top w:val="single" w:color="000000" w:sz="2" w:space="0"/>
                    <w:left w:val="single" w:color="000000" w:sz="2" w:space="0"/>
                    <w:bottom w:val="single" w:color="000000" w:sz="2" w:space="0"/>
                    <w:right w:val="single" w:color="000000" w:sz="2" w:space="0"/>
                  </w:tcBorders>
                  <w:noWrap w:val="0"/>
                  <w:vAlign w:val="top"/>
                </w:tcPr>
                <w:p w14:paraId="3CF51E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8</w:t>
                  </w:r>
                </w:p>
              </w:tc>
              <w:tc>
                <w:tcPr>
                  <w:tcW w:w="599" w:type="pct"/>
                  <w:tcBorders>
                    <w:top w:val="single" w:color="000000" w:sz="2" w:space="0"/>
                    <w:left w:val="single" w:color="000000" w:sz="2" w:space="0"/>
                    <w:bottom w:val="single" w:color="000000" w:sz="2" w:space="0"/>
                    <w:right w:val="single" w:color="000000" w:sz="2" w:space="0"/>
                  </w:tcBorders>
                  <w:noWrap w:val="0"/>
                  <w:vAlign w:val="top"/>
                </w:tcPr>
                <w:p w14:paraId="647116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7.21</w:t>
                  </w:r>
                </w:p>
              </w:tc>
              <w:tc>
                <w:tcPr>
                  <w:tcW w:w="713" w:type="pct"/>
                  <w:tcBorders>
                    <w:top w:val="single" w:color="000000" w:sz="2" w:space="0"/>
                    <w:left w:val="single" w:color="000000" w:sz="2" w:space="0"/>
                    <w:bottom w:val="single" w:color="000000" w:sz="2" w:space="0"/>
                    <w:right w:val="single" w:color="000000" w:sz="2" w:space="0"/>
                  </w:tcBorders>
                  <w:noWrap w:val="0"/>
                  <w:vAlign w:val="top"/>
                </w:tcPr>
                <w:p w14:paraId="160668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11</w:t>
                  </w:r>
                </w:p>
              </w:tc>
              <w:tc>
                <w:tcPr>
                  <w:tcW w:w="797" w:type="pct"/>
                  <w:tcBorders>
                    <w:top w:val="single" w:color="000000" w:sz="2" w:space="0"/>
                    <w:left w:val="single" w:color="000000" w:sz="2" w:space="0"/>
                    <w:bottom w:val="single" w:color="000000" w:sz="2" w:space="0"/>
                    <w:right w:val="single" w:color="000000" w:sz="2" w:space="0"/>
                  </w:tcBorders>
                  <w:noWrap w:val="0"/>
                  <w:vAlign w:val="top"/>
                </w:tcPr>
                <w:p w14:paraId="655A23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13.75</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4F825B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19</w:t>
                  </w:r>
                </w:p>
              </w:tc>
              <w:tc>
                <w:tcPr>
                  <w:tcW w:w="712" w:type="pct"/>
                  <w:tcBorders>
                    <w:top w:val="single" w:color="000000" w:sz="2" w:space="0"/>
                    <w:left w:val="single" w:color="000000" w:sz="2" w:space="0"/>
                    <w:bottom w:val="single" w:color="000000" w:sz="2" w:space="0"/>
                    <w:right w:val="nil"/>
                  </w:tcBorders>
                  <w:noWrap w:val="0"/>
                  <w:vAlign w:val="top"/>
                </w:tcPr>
                <w:p w14:paraId="298EFA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9.95</w:t>
                  </w:r>
                </w:p>
              </w:tc>
            </w:tr>
            <w:tr w14:paraId="16DF6F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3" w:hRule="atLeast"/>
              </w:trPr>
              <w:tc>
                <w:tcPr>
                  <w:tcW w:w="1022" w:type="pct"/>
                  <w:tcBorders>
                    <w:top w:val="single" w:color="000000" w:sz="2" w:space="0"/>
                    <w:left w:val="nil"/>
                    <w:bottom w:val="single" w:color="000000" w:sz="2" w:space="0"/>
                    <w:right w:val="single" w:color="000000" w:sz="2" w:space="0"/>
                  </w:tcBorders>
                  <w:noWrap w:val="0"/>
                  <w:vAlign w:val="top"/>
                </w:tcPr>
                <w:p w14:paraId="5FDB6B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偶见</w:t>
                  </w:r>
                </w:p>
              </w:tc>
              <w:tc>
                <w:tcPr>
                  <w:tcW w:w="527" w:type="pct"/>
                  <w:tcBorders>
                    <w:top w:val="single" w:color="000000" w:sz="2" w:space="0"/>
                    <w:left w:val="single" w:color="000000" w:sz="2" w:space="0"/>
                    <w:bottom w:val="single" w:color="000000" w:sz="2" w:space="0"/>
                    <w:right w:val="single" w:color="000000" w:sz="2" w:space="0"/>
                  </w:tcBorders>
                  <w:noWrap w:val="0"/>
                  <w:vAlign w:val="top"/>
                </w:tcPr>
                <w:p w14:paraId="710ABD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w:t>
                  </w:r>
                </w:p>
              </w:tc>
              <w:tc>
                <w:tcPr>
                  <w:tcW w:w="599" w:type="pct"/>
                  <w:tcBorders>
                    <w:top w:val="single" w:color="000000" w:sz="2" w:space="0"/>
                    <w:left w:val="single" w:color="000000" w:sz="2" w:space="0"/>
                    <w:bottom w:val="single" w:color="000000" w:sz="2" w:space="0"/>
                    <w:right w:val="single" w:color="000000" w:sz="2" w:space="0"/>
                  </w:tcBorders>
                  <w:noWrap w:val="0"/>
                  <w:vAlign w:val="top"/>
                </w:tcPr>
                <w:p w14:paraId="288D5A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0.01</w:t>
                  </w:r>
                </w:p>
              </w:tc>
              <w:tc>
                <w:tcPr>
                  <w:tcW w:w="713" w:type="pct"/>
                  <w:tcBorders>
                    <w:top w:val="single" w:color="000000" w:sz="2" w:space="0"/>
                    <w:left w:val="single" w:color="000000" w:sz="2" w:space="0"/>
                    <w:bottom w:val="single" w:color="000000" w:sz="2" w:space="0"/>
                    <w:right w:val="single" w:color="000000" w:sz="2" w:space="0"/>
                  </w:tcBorders>
                  <w:noWrap w:val="0"/>
                  <w:vAlign w:val="top"/>
                </w:tcPr>
                <w:p w14:paraId="37C067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0</w:t>
                  </w:r>
                </w:p>
              </w:tc>
              <w:tc>
                <w:tcPr>
                  <w:tcW w:w="797" w:type="pct"/>
                  <w:tcBorders>
                    <w:top w:val="single" w:color="000000" w:sz="2" w:space="0"/>
                    <w:left w:val="single" w:color="000000" w:sz="2" w:space="0"/>
                    <w:bottom w:val="single" w:color="000000" w:sz="2" w:space="0"/>
                    <w:right w:val="single" w:color="000000" w:sz="2" w:space="0"/>
                  </w:tcBorders>
                  <w:noWrap w:val="0"/>
                  <w:vAlign w:val="top"/>
                </w:tcPr>
                <w:p w14:paraId="446EF9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1E9AA1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w:t>
                  </w:r>
                </w:p>
              </w:tc>
              <w:tc>
                <w:tcPr>
                  <w:tcW w:w="712" w:type="pct"/>
                  <w:tcBorders>
                    <w:top w:val="single" w:color="000000" w:sz="2" w:space="0"/>
                    <w:left w:val="single" w:color="000000" w:sz="2" w:space="0"/>
                    <w:bottom w:val="single" w:color="000000" w:sz="2" w:space="0"/>
                    <w:right w:val="nil"/>
                  </w:tcBorders>
                  <w:noWrap w:val="0"/>
                  <w:vAlign w:val="top"/>
                </w:tcPr>
                <w:p w14:paraId="28948D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0.52</w:t>
                  </w:r>
                </w:p>
              </w:tc>
            </w:tr>
            <w:tr w14:paraId="19C7F5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39" w:hRule="atLeast"/>
              </w:trPr>
              <w:tc>
                <w:tcPr>
                  <w:tcW w:w="1022" w:type="pct"/>
                  <w:tcBorders>
                    <w:top w:val="single" w:color="000000" w:sz="2" w:space="0"/>
                    <w:left w:val="nil"/>
                    <w:bottom w:val="single" w:color="000000" w:sz="12" w:space="0"/>
                    <w:right w:val="single" w:color="000000" w:sz="2" w:space="0"/>
                  </w:tcBorders>
                  <w:noWrap w:val="0"/>
                  <w:vAlign w:val="top"/>
                </w:tcPr>
                <w:p w14:paraId="6EC119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合计</w:t>
                  </w:r>
                </w:p>
              </w:tc>
              <w:tc>
                <w:tcPr>
                  <w:tcW w:w="527" w:type="pct"/>
                  <w:tcBorders>
                    <w:top w:val="single" w:color="000000" w:sz="2" w:space="0"/>
                    <w:left w:val="single" w:color="000000" w:sz="2" w:space="0"/>
                    <w:bottom w:val="single" w:color="000000" w:sz="12" w:space="0"/>
                    <w:right w:val="single" w:color="000000" w:sz="2" w:space="0"/>
                  </w:tcBorders>
                  <w:noWrap w:val="0"/>
                  <w:vAlign w:val="top"/>
                </w:tcPr>
                <w:p w14:paraId="278853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111</w:t>
                  </w:r>
                </w:p>
              </w:tc>
              <w:tc>
                <w:tcPr>
                  <w:tcW w:w="599" w:type="pct"/>
                  <w:tcBorders>
                    <w:top w:val="single" w:color="000000" w:sz="2" w:space="0"/>
                    <w:left w:val="single" w:color="000000" w:sz="2" w:space="0"/>
                    <w:bottom w:val="single" w:color="000000" w:sz="12" w:space="0"/>
                    <w:right w:val="single" w:color="000000" w:sz="2" w:space="0"/>
                  </w:tcBorders>
                  <w:noWrap w:val="0"/>
                  <w:vAlign w:val="top"/>
                </w:tcPr>
                <w:p w14:paraId="3740B4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100.00</w:t>
                  </w:r>
                </w:p>
              </w:tc>
              <w:tc>
                <w:tcPr>
                  <w:tcW w:w="713" w:type="pct"/>
                  <w:tcBorders>
                    <w:top w:val="single" w:color="000000" w:sz="2" w:space="0"/>
                    <w:left w:val="single" w:color="000000" w:sz="2" w:space="0"/>
                    <w:bottom w:val="single" w:color="000000" w:sz="12" w:space="0"/>
                    <w:right w:val="single" w:color="000000" w:sz="2" w:space="0"/>
                  </w:tcBorders>
                  <w:noWrap w:val="0"/>
                  <w:vAlign w:val="top"/>
                </w:tcPr>
                <w:p w14:paraId="4BD75D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80</w:t>
                  </w:r>
                </w:p>
              </w:tc>
              <w:tc>
                <w:tcPr>
                  <w:tcW w:w="797" w:type="pct"/>
                  <w:tcBorders>
                    <w:top w:val="single" w:color="000000" w:sz="2" w:space="0"/>
                    <w:left w:val="single" w:color="000000" w:sz="2" w:space="0"/>
                    <w:bottom w:val="single" w:color="000000" w:sz="12" w:space="0"/>
                    <w:right w:val="single" w:color="000000" w:sz="2" w:space="0"/>
                  </w:tcBorders>
                  <w:noWrap w:val="0"/>
                  <w:vAlign w:val="top"/>
                </w:tcPr>
                <w:p w14:paraId="2126AB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100.00</w:t>
                  </w:r>
                </w:p>
              </w:tc>
              <w:tc>
                <w:tcPr>
                  <w:tcW w:w="630" w:type="pct"/>
                  <w:tcBorders>
                    <w:top w:val="single" w:color="000000" w:sz="2" w:space="0"/>
                    <w:left w:val="single" w:color="000000" w:sz="2" w:space="0"/>
                    <w:bottom w:val="single" w:color="000000" w:sz="12" w:space="0"/>
                    <w:right w:val="single" w:color="000000" w:sz="2" w:space="0"/>
                  </w:tcBorders>
                  <w:noWrap w:val="0"/>
                  <w:vAlign w:val="top"/>
                </w:tcPr>
                <w:p w14:paraId="186BFA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191</w:t>
                  </w:r>
                </w:p>
              </w:tc>
              <w:tc>
                <w:tcPr>
                  <w:tcW w:w="712" w:type="pct"/>
                  <w:tcBorders>
                    <w:top w:val="single" w:color="000000" w:sz="2" w:space="0"/>
                    <w:left w:val="single" w:color="000000" w:sz="2" w:space="0"/>
                    <w:bottom w:val="single" w:color="000000" w:sz="12" w:space="0"/>
                    <w:right w:val="nil"/>
                  </w:tcBorders>
                  <w:noWrap w:val="0"/>
                  <w:vAlign w:val="top"/>
                </w:tcPr>
                <w:p w14:paraId="182AB4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kern w:val="0"/>
                      <w:sz w:val="18"/>
                      <w:szCs w:val="18"/>
                      <w:highlight w:val="none"/>
                    </w:rPr>
                  </w:pPr>
                  <w:r>
                    <w:rPr>
                      <w:color w:val="auto"/>
                      <w:kern w:val="0"/>
                      <w:sz w:val="18"/>
                      <w:szCs w:val="18"/>
                      <w:highlight w:val="none"/>
                    </w:rPr>
                    <w:t>100.00</w:t>
                  </w:r>
                </w:p>
              </w:tc>
            </w:tr>
          </w:tbl>
          <w:p w14:paraId="6B2AC9B4">
            <w:pPr>
              <w:keepNext w:val="0"/>
              <w:keepLines w:val="0"/>
              <w:pageBreakBefore w:val="0"/>
              <w:widowControl w:val="0"/>
              <w:kinsoku/>
              <w:wordWrap/>
              <w:overflowPunct/>
              <w:topLinePunct w:val="0"/>
              <w:autoSpaceDE/>
              <w:autoSpaceDN/>
              <w:bidi w:val="0"/>
              <w:adjustRightInd/>
              <w:snapToGrid/>
              <w:spacing w:line="240" w:lineRule="auto"/>
              <w:ind w:firstLine="0"/>
              <w:textAlignment w:val="auto"/>
              <w:rPr>
                <w:color w:val="auto"/>
                <w:highlight w:val="none"/>
              </w:rPr>
            </w:pPr>
            <w:r>
              <w:rPr>
                <w:color w:val="auto"/>
                <w:highlight w:val="none"/>
              </w:rPr>
              <w:t>*偶见为迷鸟或文献记录种类。</w:t>
            </w:r>
          </w:p>
          <w:p w14:paraId="6A7AEEC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从分类学上看，本区共有雀形目鸟类80种，占鸟类种数的41.88%。非雀形目鸟类111种，占本区鸟类种数的58.12%。其中水禽79种，占非雀形目鸟类种数的71.17%。从区系特征上看，本区共有古北界鸟类124种，占本区鸟类种数的64.92%；东洋界鸟类4种，占2.09%；广布种63种，占32.98%。</w:t>
            </w:r>
          </w:p>
          <w:p w14:paraId="22B0D4A1">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3" w:name="_Toc98530874"/>
            <w:r>
              <w:rPr>
                <w:rFonts w:hint="default"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.7.2兽类动物资源</w:t>
            </w:r>
            <w:bookmarkEnd w:id="33"/>
          </w:p>
          <w:p w14:paraId="270D63B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区地处寒温带，兽类以耐寒种类为主，根据调查并参考有关资料确认本区共有兽类计6目16科44种，占全省兽类种数的51.16%。以食肉目和啮齿目种类占优势，占本区兽类种数的65.91%。其次为食虫目、翼手目、偶蹄目。各目种数及与全省相比较如表4.7-3。此外，本区还有国家一级重点保护兽类3种，国家二级重点保护兽类7种，黑龙江省重点保护兽类10种。</w:t>
            </w:r>
          </w:p>
          <w:p w14:paraId="6388AB44">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黑体" w:cs="Times New Roman"/>
                <w:color w:val="auto"/>
                <w:kern w:val="0"/>
                <w:sz w:val="21"/>
                <w:szCs w:val="20"/>
                <w:highlight w:val="none"/>
                <w:lang w:val="en-US" w:eastAsia="zh-CN" w:bidi="ar-SA"/>
              </w:rPr>
            </w:pPr>
          </w:p>
          <w:p w14:paraId="6DE8D11E">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黑体" w:cs="Times New Roman"/>
                <w:color w:val="auto"/>
                <w:kern w:val="0"/>
                <w:sz w:val="21"/>
                <w:szCs w:val="20"/>
                <w:highlight w:val="none"/>
                <w:lang w:val="en-US" w:eastAsia="zh-CN" w:bidi="ar-SA"/>
              </w:rPr>
            </w:pPr>
          </w:p>
          <w:p w14:paraId="40E73676">
            <w:pPr>
              <w:pStyle w:val="10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黑体" w:cs="Times New Roman"/>
                <w:color w:val="auto"/>
                <w:kern w:val="0"/>
                <w:sz w:val="21"/>
                <w:szCs w:val="20"/>
                <w:highlight w:val="none"/>
                <w:lang w:val="en-US" w:eastAsia="zh-CN" w:bidi="ar-SA"/>
              </w:rPr>
            </w:pPr>
            <w:r>
              <w:rPr>
                <w:rFonts w:hint="eastAsia" w:ascii="Times New Roman" w:hAnsi="Times New Roman" w:eastAsia="黑体" w:cs="Times New Roman"/>
                <w:color w:val="auto"/>
                <w:kern w:val="0"/>
                <w:sz w:val="21"/>
                <w:szCs w:val="20"/>
                <w:highlight w:val="none"/>
                <w:lang w:val="en-US" w:eastAsia="zh-CN" w:bidi="ar-SA"/>
              </w:rPr>
              <w:t>表3-7饶河东北黑蜂保护区兽类组成</w:t>
            </w:r>
          </w:p>
          <w:tbl>
            <w:tblPr>
              <w:tblStyle w:val="26"/>
              <w:tblW w:w="499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32"/>
              <w:gridCol w:w="909"/>
              <w:gridCol w:w="1081"/>
              <w:gridCol w:w="847"/>
              <w:gridCol w:w="1157"/>
              <w:gridCol w:w="918"/>
              <w:gridCol w:w="1040"/>
            </w:tblGrid>
            <w:tr w14:paraId="3843DA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914" w:type="pct"/>
                  <w:vMerge w:val="restart"/>
                  <w:tcBorders>
                    <w:top w:val="single" w:color="000000" w:sz="12" w:space="0"/>
                    <w:left w:val="nil"/>
                    <w:bottom w:val="nil"/>
                    <w:right w:val="single" w:color="000000" w:sz="2" w:space="0"/>
                  </w:tcBorders>
                  <w:noWrap w:val="0"/>
                  <w:vAlign w:val="top"/>
                </w:tcPr>
                <w:p w14:paraId="5FBEC9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种数</w:t>
                  </w:r>
                </w:p>
                <w:p w14:paraId="2C046A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类群</w:t>
                  </w:r>
                </w:p>
              </w:tc>
              <w:tc>
                <w:tcPr>
                  <w:tcW w:w="1947" w:type="pct"/>
                  <w:gridSpan w:val="3"/>
                  <w:tcBorders>
                    <w:top w:val="single" w:color="000000" w:sz="12" w:space="0"/>
                    <w:left w:val="single" w:color="000000" w:sz="2" w:space="0"/>
                    <w:bottom w:val="single" w:color="000000" w:sz="2" w:space="0"/>
                    <w:right w:val="single" w:color="000000" w:sz="2" w:space="0"/>
                  </w:tcBorders>
                  <w:noWrap w:val="0"/>
                  <w:vAlign w:val="top"/>
                </w:tcPr>
                <w:p w14:paraId="1F82A4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spacing w:val="-4"/>
                      <w:kern w:val="0"/>
                      <w:sz w:val="18"/>
                      <w:szCs w:val="18"/>
                      <w:highlight w:val="none"/>
                    </w:rPr>
                    <w:t>科</w:t>
                  </w:r>
                  <w:r>
                    <w:rPr>
                      <w:rFonts w:hint="default" w:ascii="Times New Roman" w:hAnsi="Times New Roman" w:eastAsia="Times New Roman" w:cs="Times New Roman"/>
                      <w:color w:val="auto"/>
                      <w:spacing w:val="3"/>
                      <w:kern w:val="0"/>
                      <w:sz w:val="18"/>
                      <w:szCs w:val="18"/>
                      <w:highlight w:val="none"/>
                    </w:rPr>
                    <w:t xml:space="preserve">   </w:t>
                  </w:r>
                  <w:r>
                    <w:rPr>
                      <w:rFonts w:hint="default" w:ascii="Times New Roman" w:hAnsi="Times New Roman" w:cs="Times New Roman"/>
                      <w:color w:val="auto"/>
                      <w:spacing w:val="-4"/>
                      <w:kern w:val="0"/>
                      <w:sz w:val="18"/>
                      <w:szCs w:val="18"/>
                      <w:highlight w:val="none"/>
                    </w:rPr>
                    <w:t>数</w:t>
                  </w:r>
                </w:p>
              </w:tc>
              <w:tc>
                <w:tcPr>
                  <w:tcW w:w="2137" w:type="pct"/>
                  <w:gridSpan w:val="3"/>
                  <w:tcBorders>
                    <w:top w:val="single" w:color="000000" w:sz="12" w:space="0"/>
                    <w:left w:val="single" w:color="000000" w:sz="2" w:space="0"/>
                    <w:bottom w:val="single" w:color="000000" w:sz="2" w:space="0"/>
                    <w:right w:val="nil"/>
                  </w:tcBorders>
                  <w:noWrap w:val="0"/>
                  <w:vAlign w:val="top"/>
                </w:tcPr>
                <w:p w14:paraId="06469C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spacing w:val="-4"/>
                      <w:kern w:val="0"/>
                      <w:sz w:val="18"/>
                      <w:szCs w:val="18"/>
                      <w:highlight w:val="none"/>
                    </w:rPr>
                    <w:t>种</w:t>
                  </w:r>
                  <w:r>
                    <w:rPr>
                      <w:rFonts w:hint="default" w:ascii="Times New Roman" w:hAnsi="Times New Roman" w:eastAsia="Times New Roman" w:cs="Times New Roman"/>
                      <w:color w:val="auto"/>
                      <w:spacing w:val="3"/>
                      <w:kern w:val="0"/>
                      <w:sz w:val="18"/>
                      <w:szCs w:val="18"/>
                      <w:highlight w:val="none"/>
                    </w:rPr>
                    <w:t xml:space="preserve">   </w:t>
                  </w:r>
                  <w:r>
                    <w:rPr>
                      <w:rFonts w:hint="default" w:ascii="Times New Roman" w:hAnsi="Times New Roman" w:cs="Times New Roman"/>
                      <w:color w:val="auto"/>
                      <w:spacing w:val="-4"/>
                      <w:kern w:val="0"/>
                      <w:sz w:val="18"/>
                      <w:szCs w:val="18"/>
                      <w:highlight w:val="none"/>
                    </w:rPr>
                    <w:t>数</w:t>
                  </w:r>
                </w:p>
              </w:tc>
            </w:tr>
            <w:tr w14:paraId="142122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14" w:type="pct"/>
                  <w:vMerge w:val="continue"/>
                  <w:tcBorders>
                    <w:top w:val="single" w:color="000000" w:sz="12" w:space="0"/>
                    <w:left w:val="nil"/>
                    <w:bottom w:val="nil"/>
                    <w:right w:val="single" w:color="000000" w:sz="2" w:space="0"/>
                  </w:tcBorders>
                  <w:noWrap w:val="0"/>
                  <w:vAlign w:val="center"/>
                </w:tcPr>
                <w:p w14:paraId="035303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2AEE4F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本区</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30764F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全省</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510847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0FF1D7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本区</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3C07D0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全省</w:t>
                  </w:r>
                </w:p>
              </w:tc>
              <w:tc>
                <w:tcPr>
                  <w:tcW w:w="711" w:type="pct"/>
                  <w:tcBorders>
                    <w:top w:val="single" w:color="000000" w:sz="2" w:space="0"/>
                    <w:left w:val="single" w:color="000000" w:sz="2" w:space="0"/>
                    <w:bottom w:val="single" w:color="000000" w:sz="2" w:space="0"/>
                    <w:right w:val="nil"/>
                  </w:tcBorders>
                  <w:noWrap w:val="0"/>
                  <w:vAlign w:val="top"/>
                </w:tcPr>
                <w:p w14:paraId="116B20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w:t>
                  </w:r>
                </w:p>
              </w:tc>
            </w:tr>
            <w:tr w14:paraId="4B3CA4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14" w:type="pct"/>
                  <w:tcBorders>
                    <w:top w:val="single" w:color="000000" w:sz="2" w:space="0"/>
                    <w:left w:val="nil"/>
                    <w:bottom w:val="single" w:color="000000" w:sz="2" w:space="0"/>
                    <w:right w:val="single" w:color="000000" w:sz="2" w:space="0"/>
                  </w:tcBorders>
                  <w:noWrap w:val="0"/>
                  <w:vAlign w:val="top"/>
                </w:tcPr>
                <w:p w14:paraId="0B8EC2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食虫鸟</w:t>
                  </w: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0BEB82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2</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0E8F6A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3</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69D043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66.67</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0D4532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57510E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8"/>
                      <w:kern w:val="0"/>
                      <w:sz w:val="18"/>
                      <w:szCs w:val="18"/>
                      <w:highlight w:val="none"/>
                    </w:rPr>
                    <w:t>11</w:t>
                  </w:r>
                </w:p>
              </w:tc>
              <w:tc>
                <w:tcPr>
                  <w:tcW w:w="711" w:type="pct"/>
                  <w:tcBorders>
                    <w:top w:val="single" w:color="000000" w:sz="2" w:space="0"/>
                    <w:left w:val="single" w:color="000000" w:sz="2" w:space="0"/>
                    <w:bottom w:val="single" w:color="000000" w:sz="2" w:space="0"/>
                    <w:right w:val="nil"/>
                  </w:tcBorders>
                  <w:noWrap w:val="0"/>
                  <w:vAlign w:val="top"/>
                </w:tcPr>
                <w:p w14:paraId="6A9EBC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54.55</w:t>
                  </w:r>
                </w:p>
              </w:tc>
            </w:tr>
            <w:tr w14:paraId="543966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14" w:type="pct"/>
                  <w:tcBorders>
                    <w:top w:val="single" w:color="000000" w:sz="2" w:space="0"/>
                    <w:left w:val="nil"/>
                    <w:bottom w:val="single" w:color="000000" w:sz="2" w:space="0"/>
                    <w:right w:val="single" w:color="000000" w:sz="2" w:space="0"/>
                  </w:tcBorders>
                  <w:noWrap w:val="0"/>
                  <w:vAlign w:val="top"/>
                </w:tcPr>
                <w:p w14:paraId="37A6CB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翼手鸟</w:t>
                  </w: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25944B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1</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0752C0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1</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5BA848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3"/>
                      <w:kern w:val="0"/>
                      <w:sz w:val="18"/>
                      <w:szCs w:val="18"/>
                      <w:highlight w:val="none"/>
                    </w:rPr>
                    <w:t>100.00</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0ABF04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3</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3A60A7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6"/>
                      <w:kern w:val="0"/>
                      <w:sz w:val="18"/>
                      <w:szCs w:val="18"/>
                      <w:highlight w:val="none"/>
                    </w:rPr>
                    <w:t>15</w:t>
                  </w:r>
                </w:p>
              </w:tc>
              <w:tc>
                <w:tcPr>
                  <w:tcW w:w="711" w:type="pct"/>
                  <w:tcBorders>
                    <w:top w:val="single" w:color="000000" w:sz="2" w:space="0"/>
                    <w:left w:val="single" w:color="000000" w:sz="2" w:space="0"/>
                    <w:bottom w:val="single" w:color="000000" w:sz="2" w:space="0"/>
                    <w:right w:val="nil"/>
                  </w:tcBorders>
                  <w:noWrap w:val="0"/>
                  <w:vAlign w:val="top"/>
                </w:tcPr>
                <w:p w14:paraId="2E50A6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20.00</w:t>
                  </w:r>
                </w:p>
              </w:tc>
            </w:tr>
            <w:tr w14:paraId="4132D1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914" w:type="pct"/>
                  <w:tcBorders>
                    <w:top w:val="single" w:color="000000" w:sz="2" w:space="0"/>
                    <w:left w:val="nil"/>
                    <w:bottom w:val="single" w:color="000000" w:sz="2" w:space="0"/>
                    <w:right w:val="single" w:color="000000" w:sz="2" w:space="0"/>
                  </w:tcBorders>
                  <w:noWrap w:val="0"/>
                  <w:vAlign w:val="top"/>
                </w:tcPr>
                <w:p w14:paraId="287CB9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食肉目</w:t>
                  </w: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58C59D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4</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6DAF90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4</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44467E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3"/>
                      <w:kern w:val="0"/>
                      <w:sz w:val="18"/>
                      <w:szCs w:val="18"/>
                      <w:highlight w:val="none"/>
                    </w:rPr>
                    <w:t>100.00</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4BC470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0"/>
                      <w:kern w:val="0"/>
                      <w:sz w:val="18"/>
                      <w:szCs w:val="18"/>
                      <w:highlight w:val="none"/>
                    </w:rPr>
                    <w:t>13</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24A571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22</w:t>
                  </w:r>
                </w:p>
              </w:tc>
              <w:tc>
                <w:tcPr>
                  <w:tcW w:w="711" w:type="pct"/>
                  <w:tcBorders>
                    <w:top w:val="single" w:color="000000" w:sz="2" w:space="0"/>
                    <w:left w:val="single" w:color="000000" w:sz="2" w:space="0"/>
                    <w:bottom w:val="single" w:color="000000" w:sz="2" w:space="0"/>
                    <w:right w:val="nil"/>
                  </w:tcBorders>
                  <w:noWrap w:val="0"/>
                  <w:vAlign w:val="top"/>
                </w:tcPr>
                <w:p w14:paraId="59295F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59.09</w:t>
                  </w:r>
                </w:p>
              </w:tc>
            </w:tr>
            <w:tr w14:paraId="22B61A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14" w:type="pct"/>
                  <w:tcBorders>
                    <w:top w:val="single" w:color="000000" w:sz="2" w:space="0"/>
                    <w:left w:val="nil"/>
                    <w:bottom w:val="single" w:color="000000" w:sz="2" w:space="0"/>
                    <w:right w:val="single" w:color="000000" w:sz="2" w:space="0"/>
                  </w:tcBorders>
                  <w:noWrap w:val="0"/>
                  <w:vAlign w:val="top"/>
                </w:tcPr>
                <w:p w14:paraId="436CC6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spacing w:val="-3"/>
                      <w:kern w:val="0"/>
                      <w:sz w:val="18"/>
                      <w:szCs w:val="18"/>
                      <w:highlight w:val="none"/>
                    </w:rPr>
                    <w:t>兔形目</w:t>
                  </w: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2AF387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1</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6B587B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2</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37D92D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50.00</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1D8CC4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3</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5C6F5F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6</w:t>
                  </w:r>
                </w:p>
              </w:tc>
              <w:tc>
                <w:tcPr>
                  <w:tcW w:w="711" w:type="pct"/>
                  <w:tcBorders>
                    <w:top w:val="single" w:color="000000" w:sz="2" w:space="0"/>
                    <w:left w:val="single" w:color="000000" w:sz="2" w:space="0"/>
                    <w:bottom w:val="single" w:color="000000" w:sz="2" w:space="0"/>
                    <w:right w:val="nil"/>
                  </w:tcBorders>
                  <w:noWrap w:val="0"/>
                  <w:vAlign w:val="top"/>
                </w:tcPr>
                <w:p w14:paraId="7B1E0A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50.00</w:t>
                  </w:r>
                </w:p>
              </w:tc>
            </w:tr>
            <w:tr w14:paraId="18E744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14" w:type="pct"/>
                  <w:tcBorders>
                    <w:top w:val="single" w:color="000000" w:sz="2" w:space="0"/>
                    <w:left w:val="nil"/>
                    <w:bottom w:val="single" w:color="000000" w:sz="2" w:space="0"/>
                    <w:right w:val="single" w:color="000000" w:sz="2" w:space="0"/>
                  </w:tcBorders>
                  <w:noWrap w:val="0"/>
                  <w:vAlign w:val="top"/>
                </w:tcPr>
                <w:p w14:paraId="746C12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spacing w:val="-4"/>
                      <w:kern w:val="0"/>
                      <w:sz w:val="18"/>
                      <w:szCs w:val="18"/>
                      <w:highlight w:val="none"/>
                    </w:rPr>
                    <w:t>啮齿目</w:t>
                  </w: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5EE53B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6</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2C597C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6</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56F2B8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83.33</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490195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0"/>
                      <w:kern w:val="0"/>
                      <w:sz w:val="18"/>
                      <w:szCs w:val="18"/>
                      <w:highlight w:val="none"/>
                    </w:rPr>
                    <w:t>16</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62EC89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24</w:t>
                  </w:r>
                </w:p>
              </w:tc>
              <w:tc>
                <w:tcPr>
                  <w:tcW w:w="711" w:type="pct"/>
                  <w:tcBorders>
                    <w:top w:val="single" w:color="000000" w:sz="2" w:space="0"/>
                    <w:left w:val="single" w:color="000000" w:sz="2" w:space="0"/>
                    <w:bottom w:val="single" w:color="000000" w:sz="2" w:space="0"/>
                    <w:right w:val="nil"/>
                  </w:tcBorders>
                  <w:noWrap w:val="0"/>
                  <w:vAlign w:val="top"/>
                </w:tcPr>
                <w:p w14:paraId="6E5972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66.67</w:t>
                  </w:r>
                </w:p>
              </w:tc>
            </w:tr>
            <w:tr w14:paraId="50B876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914" w:type="pct"/>
                  <w:tcBorders>
                    <w:top w:val="single" w:color="000000" w:sz="2" w:space="0"/>
                    <w:left w:val="nil"/>
                    <w:bottom w:val="single" w:color="000000" w:sz="2" w:space="0"/>
                    <w:right w:val="single" w:color="000000" w:sz="2" w:space="0"/>
                  </w:tcBorders>
                  <w:noWrap w:val="0"/>
                  <w:vAlign w:val="top"/>
                </w:tcPr>
                <w:p w14:paraId="175BBB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偶蹄目</w:t>
                  </w:r>
                </w:p>
              </w:tc>
              <w:tc>
                <w:tcPr>
                  <w:tcW w:w="624" w:type="pct"/>
                  <w:tcBorders>
                    <w:top w:val="single" w:color="000000" w:sz="2" w:space="0"/>
                    <w:left w:val="single" w:color="000000" w:sz="2" w:space="0"/>
                    <w:bottom w:val="single" w:color="000000" w:sz="2" w:space="0"/>
                    <w:right w:val="single" w:color="000000" w:sz="2" w:space="0"/>
                  </w:tcBorders>
                  <w:noWrap w:val="0"/>
                  <w:vAlign w:val="top"/>
                </w:tcPr>
                <w:p w14:paraId="45A91A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2</w:t>
                  </w:r>
                </w:p>
              </w:tc>
              <w:tc>
                <w:tcPr>
                  <w:tcW w:w="742" w:type="pct"/>
                  <w:tcBorders>
                    <w:top w:val="single" w:color="000000" w:sz="2" w:space="0"/>
                    <w:left w:val="single" w:color="000000" w:sz="2" w:space="0"/>
                    <w:bottom w:val="single" w:color="000000" w:sz="2" w:space="0"/>
                    <w:right w:val="single" w:color="000000" w:sz="2" w:space="0"/>
                  </w:tcBorders>
                  <w:noWrap w:val="0"/>
                  <w:vAlign w:val="top"/>
                </w:tcPr>
                <w:p w14:paraId="53FA4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4</w:t>
                  </w:r>
                </w:p>
              </w:tc>
              <w:tc>
                <w:tcPr>
                  <w:tcW w:w="580" w:type="pct"/>
                  <w:tcBorders>
                    <w:top w:val="single" w:color="000000" w:sz="2" w:space="0"/>
                    <w:left w:val="single" w:color="000000" w:sz="2" w:space="0"/>
                    <w:bottom w:val="single" w:color="000000" w:sz="2" w:space="0"/>
                    <w:right w:val="single" w:color="000000" w:sz="2" w:space="0"/>
                  </w:tcBorders>
                  <w:noWrap w:val="0"/>
                  <w:vAlign w:val="top"/>
                </w:tcPr>
                <w:p w14:paraId="134FED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50.00</w:t>
                  </w:r>
                </w:p>
              </w:tc>
              <w:tc>
                <w:tcPr>
                  <w:tcW w:w="794" w:type="pct"/>
                  <w:tcBorders>
                    <w:top w:val="single" w:color="000000" w:sz="2" w:space="0"/>
                    <w:left w:val="single" w:color="000000" w:sz="2" w:space="0"/>
                    <w:bottom w:val="single" w:color="000000" w:sz="2" w:space="0"/>
                    <w:right w:val="single" w:color="000000" w:sz="2" w:space="0"/>
                  </w:tcBorders>
                  <w:noWrap w:val="0"/>
                  <w:vAlign w:val="top"/>
                </w:tcPr>
                <w:p w14:paraId="6CCEFB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4</w:t>
                  </w:r>
                </w:p>
              </w:tc>
              <w:tc>
                <w:tcPr>
                  <w:tcW w:w="630" w:type="pct"/>
                  <w:tcBorders>
                    <w:top w:val="single" w:color="000000" w:sz="2" w:space="0"/>
                    <w:left w:val="single" w:color="000000" w:sz="2" w:space="0"/>
                    <w:bottom w:val="single" w:color="000000" w:sz="2" w:space="0"/>
                    <w:right w:val="single" w:color="000000" w:sz="2" w:space="0"/>
                  </w:tcBorders>
                  <w:noWrap w:val="0"/>
                  <w:vAlign w:val="top"/>
                </w:tcPr>
                <w:p w14:paraId="43A352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8</w:t>
                  </w:r>
                </w:p>
              </w:tc>
              <w:tc>
                <w:tcPr>
                  <w:tcW w:w="711" w:type="pct"/>
                  <w:tcBorders>
                    <w:top w:val="single" w:color="000000" w:sz="2" w:space="0"/>
                    <w:left w:val="single" w:color="000000" w:sz="2" w:space="0"/>
                    <w:bottom w:val="single" w:color="000000" w:sz="2" w:space="0"/>
                    <w:right w:val="nil"/>
                  </w:tcBorders>
                  <w:noWrap w:val="0"/>
                  <w:vAlign w:val="top"/>
                </w:tcPr>
                <w:p w14:paraId="4E59C5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50.00</w:t>
                  </w:r>
                </w:p>
              </w:tc>
            </w:tr>
            <w:tr w14:paraId="660047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14" w:type="pct"/>
                  <w:tcBorders>
                    <w:top w:val="single" w:color="000000" w:sz="2" w:space="0"/>
                    <w:left w:val="nil"/>
                    <w:bottom w:val="single" w:color="000000" w:sz="12" w:space="0"/>
                    <w:right w:val="single" w:color="000000" w:sz="2" w:space="0"/>
                  </w:tcBorders>
                  <w:noWrap w:val="0"/>
                  <w:vAlign w:val="top"/>
                </w:tcPr>
                <w:p w14:paraId="08DF3C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合计</w:t>
                  </w:r>
                </w:p>
              </w:tc>
              <w:tc>
                <w:tcPr>
                  <w:tcW w:w="624" w:type="pct"/>
                  <w:tcBorders>
                    <w:top w:val="single" w:color="000000" w:sz="2" w:space="0"/>
                    <w:left w:val="single" w:color="000000" w:sz="2" w:space="0"/>
                    <w:bottom w:val="single" w:color="000000" w:sz="12" w:space="0"/>
                    <w:right w:val="single" w:color="000000" w:sz="2" w:space="0"/>
                  </w:tcBorders>
                  <w:noWrap w:val="0"/>
                  <w:vAlign w:val="top"/>
                </w:tcPr>
                <w:p w14:paraId="2BADE8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0"/>
                      <w:kern w:val="0"/>
                      <w:sz w:val="18"/>
                      <w:szCs w:val="18"/>
                      <w:highlight w:val="none"/>
                    </w:rPr>
                    <w:t>16</w:t>
                  </w:r>
                </w:p>
              </w:tc>
              <w:tc>
                <w:tcPr>
                  <w:tcW w:w="742" w:type="pct"/>
                  <w:tcBorders>
                    <w:top w:val="single" w:color="000000" w:sz="2" w:space="0"/>
                    <w:left w:val="single" w:color="000000" w:sz="2" w:space="0"/>
                    <w:bottom w:val="single" w:color="000000" w:sz="12" w:space="0"/>
                    <w:right w:val="single" w:color="000000" w:sz="2" w:space="0"/>
                  </w:tcBorders>
                  <w:noWrap w:val="0"/>
                  <w:vAlign w:val="top"/>
                </w:tcPr>
                <w:p w14:paraId="3CBB78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20</w:t>
                  </w:r>
                </w:p>
              </w:tc>
              <w:tc>
                <w:tcPr>
                  <w:tcW w:w="580" w:type="pct"/>
                  <w:tcBorders>
                    <w:top w:val="single" w:color="000000" w:sz="2" w:space="0"/>
                    <w:left w:val="single" w:color="000000" w:sz="2" w:space="0"/>
                    <w:bottom w:val="single" w:color="000000" w:sz="12" w:space="0"/>
                    <w:right w:val="single" w:color="000000" w:sz="2" w:space="0"/>
                  </w:tcBorders>
                  <w:noWrap w:val="0"/>
                  <w:vAlign w:val="top"/>
                </w:tcPr>
                <w:p w14:paraId="7BC78A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75.00</w:t>
                  </w:r>
                </w:p>
              </w:tc>
              <w:tc>
                <w:tcPr>
                  <w:tcW w:w="794" w:type="pct"/>
                  <w:tcBorders>
                    <w:top w:val="single" w:color="000000" w:sz="2" w:space="0"/>
                    <w:left w:val="single" w:color="000000" w:sz="2" w:space="0"/>
                    <w:bottom w:val="single" w:color="000000" w:sz="12" w:space="0"/>
                    <w:right w:val="single" w:color="000000" w:sz="2" w:space="0"/>
                  </w:tcBorders>
                  <w:noWrap w:val="0"/>
                  <w:vAlign w:val="top"/>
                </w:tcPr>
                <w:p w14:paraId="46F9AD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1"/>
                      <w:kern w:val="0"/>
                      <w:sz w:val="18"/>
                      <w:szCs w:val="18"/>
                      <w:highlight w:val="none"/>
                    </w:rPr>
                    <w:t>44</w:t>
                  </w:r>
                </w:p>
              </w:tc>
              <w:tc>
                <w:tcPr>
                  <w:tcW w:w="630" w:type="pct"/>
                  <w:tcBorders>
                    <w:top w:val="single" w:color="000000" w:sz="2" w:space="0"/>
                    <w:left w:val="single" w:color="000000" w:sz="2" w:space="0"/>
                    <w:bottom w:val="single" w:color="000000" w:sz="12" w:space="0"/>
                    <w:right w:val="single" w:color="000000" w:sz="2" w:space="0"/>
                  </w:tcBorders>
                  <w:noWrap w:val="0"/>
                  <w:vAlign w:val="top"/>
                </w:tcPr>
                <w:p w14:paraId="4DF24B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spacing w:val="-3"/>
                      <w:kern w:val="0"/>
                      <w:sz w:val="18"/>
                      <w:szCs w:val="18"/>
                      <w:highlight w:val="none"/>
                    </w:rPr>
                    <w:t>86</w:t>
                  </w:r>
                </w:p>
              </w:tc>
              <w:tc>
                <w:tcPr>
                  <w:tcW w:w="711" w:type="pct"/>
                  <w:tcBorders>
                    <w:top w:val="single" w:color="000000" w:sz="2" w:space="0"/>
                    <w:left w:val="single" w:color="000000" w:sz="2" w:space="0"/>
                    <w:bottom w:val="single" w:color="000000" w:sz="12" w:space="0"/>
                    <w:right w:val="nil"/>
                  </w:tcBorders>
                  <w:noWrap w:val="0"/>
                  <w:vAlign w:val="top"/>
                </w:tcPr>
                <w:p w14:paraId="51610B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color w:val="auto"/>
                      <w:kern w:val="0"/>
                      <w:sz w:val="18"/>
                      <w:szCs w:val="18"/>
                      <w:highlight w:val="none"/>
                    </w:rPr>
                  </w:pPr>
                  <w:r>
                    <w:rPr>
                      <w:rFonts w:hint="default" w:ascii="Times New Roman" w:hAnsi="Times New Roman" w:eastAsia="Times New Roman" w:cs="Times New Roman"/>
                      <w:color w:val="auto"/>
                      <w:kern w:val="0"/>
                      <w:sz w:val="18"/>
                      <w:szCs w:val="18"/>
                      <w:highlight w:val="none"/>
                    </w:rPr>
                    <w:t>51.16</w:t>
                  </w:r>
                </w:p>
              </w:tc>
            </w:tr>
          </w:tbl>
          <w:p w14:paraId="289B73A2">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4" w:name="_Toc98530875"/>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.7.3两栖类和爬行类动物资源</w:t>
            </w:r>
            <w:bookmarkEnd w:id="34"/>
          </w:p>
          <w:p w14:paraId="3F9521B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饶河东北黑蜂保护区高寒的气候条件，成为两栖类、爬行类动物向北分布的主要限制因子。无论种类和数量均较少。</w:t>
            </w:r>
          </w:p>
          <w:p w14:paraId="2B66973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1、饶河东北黑蜂保护区两栖类资源</w:t>
            </w:r>
          </w:p>
          <w:p w14:paraId="0FFF860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饶河东北黑蜂保护区湿地面积小，食物稀少，不适于两栖类动物栖息，因此，两栖类数量较少。该区共有两栖类2目4科5种。优势种为黑龙江林蛙、极北鲵和东北林蛙。</w:t>
            </w:r>
          </w:p>
          <w:p w14:paraId="545516A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2、饶河东北黑蜂保护区的爬行类资源</w:t>
            </w:r>
          </w:p>
          <w:p w14:paraId="1E74793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本区大部分地区为森林、农田，不适于爬行类动物栖息，因此，爬行类种类及数量均较少。仅记录有爬行动物2目3科4种。均较少见。</w:t>
            </w:r>
          </w:p>
          <w:p w14:paraId="4E432C25">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5" w:name="_Toc98530876"/>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.8水生生物调查</w:t>
            </w:r>
            <w:bookmarkEnd w:id="35"/>
          </w:p>
          <w:p w14:paraId="044329D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黑龙江饶河东北黑蜂保护区共有鱼类9目14科58种，鲤科鱼类为本区的优势种，常见有鲤、鲫、鳊、鳇、鲑、鲶、哲罗等。</w:t>
            </w:r>
          </w:p>
          <w:p w14:paraId="28164E3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黑龙江省鱼类区系属古北界黑龙江过渡区的黑龙江亚区。具有南北区错综复杂的特点。包含有北寒带、亚寒带、北温带及亚热带的鱼类。</w:t>
            </w:r>
          </w:p>
          <w:p w14:paraId="7177923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根据其起源、分布和生态习性，分成6个类群，既上第三纪区系类群、北极淡水区系类群、北方平原区系类群、北方山区区系类群、江河平原区系类群和亚热带平原区系类群。</w:t>
            </w:r>
          </w:p>
          <w:p w14:paraId="03FD211F">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6" w:name="_Toc98530877"/>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.9保护区的功能区规划</w:t>
            </w:r>
            <w:bookmarkEnd w:id="36"/>
          </w:p>
          <w:p w14:paraId="493127DC">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黑龙江饶河东北黑蜂国家级自然保护区功能区划调整于2022年6月13日由国家林业和草原局批复，各分区如下：</w:t>
            </w:r>
          </w:p>
          <w:p w14:paraId="064F2C10">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7" w:name="_Toc98530878"/>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.9.1核心区</w:t>
            </w:r>
            <w:bookmarkEnd w:id="37"/>
          </w:p>
          <w:p w14:paraId="7245B3B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森林蜜粉源区：以浅山区的森林资源为主要蜜粉源采集区域的核心区，主要分布在威山林场、宝马山林场、石场林场、大牙克林场、永幸林场、大带林场和喀尔喀山等地。蜜粉源植物主要为椴树、柳树、山桃、色木槭、稠李、山槐、黄檗、茶条槭、胡枝子、榛子及林间草本植物侧金盏花、蚊子草、唐松草、柳兰等，为春夏季蜜粉源植物采集区；</w:t>
            </w:r>
          </w:p>
          <w:p w14:paraId="6F42A1E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草地及农田蜜粉源区：以草甸、沼泽、灌丛等湿地和邻近农田为蜜粉源采集区的核心区，分布在挠力河流域两岸以及北岸农垦部分区域。草地区蜜粉源植物主要为草本植物毛水苏、山野豌豆、小白花地榆、小叶章及岛状林中的胡枝子等，为秋季蜜粉源植物采集区；农田区蜜源植物主要为经济作物白瓜、向日葵、油菜、乔麦、苜蓿及果树等，为夏秋季蜜源植物采集区；</w:t>
            </w:r>
          </w:p>
          <w:p w14:paraId="56A6335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以上核心区总面积总计为270132hm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核心区是东北黑蜂的主要放养区，也是东北黑蜂赖以生存的蜜粉源植物集中分布区，是东北黑蜂种原纯化、复壮、繁殖的重点区域。按照国家对自然保护区核心区的规定内涵，该区域为严格保护的区域，禁止任何破坏东北黑蜂及其蜜粉源植物的行为，同时，严格禁止非东北黑蜂种群在此区域放养。</w:t>
            </w:r>
          </w:p>
          <w:p w14:paraId="63F203A1">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8" w:name="_Toc98530879"/>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.9.2缓冲区</w:t>
            </w:r>
            <w:bookmarkEnd w:id="38"/>
          </w:p>
          <w:p w14:paraId="49AC9C2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缓冲区围绕核心区外围分布，缓冲区总面积为54379hm</w:t>
            </w:r>
            <w:r>
              <w:rPr>
                <w:rFonts w:hint="default" w:ascii="Times New Roman" w:hAnsi="Times New Roman" w:cs="Times New Roman"/>
                <w:b w:val="0"/>
                <w:bCs/>
                <w:color w:val="auto"/>
                <w:sz w:val="21"/>
                <w:szCs w:val="21"/>
                <w:highlight w:val="none"/>
                <w:vertAlign w:val="superscript"/>
              </w:rPr>
              <w:t>2</w:t>
            </w:r>
            <w:r>
              <w:rPr>
                <w:rFonts w:hint="default" w:ascii="Times New Roman" w:hAnsi="Times New Roman" w:cs="Times New Roman"/>
                <w:b w:val="0"/>
                <w:bCs/>
                <w:color w:val="auto"/>
                <w:sz w:val="21"/>
                <w:szCs w:val="21"/>
                <w:highlight w:val="none"/>
              </w:rPr>
              <w:t>。缓冲区内蜜粉源植物分布不集中，泌量相对不高，对核心区蜜粉源植物有着辅助、补充作用。主要蜜粉源植物种类有柳树、柳叶绣线菊、小叶章、大蓟、小蓟等。</w:t>
            </w:r>
          </w:p>
          <w:p w14:paraId="642EECC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缓冲区也是东北黑蜂的重点放养区，区内蜜粉源植物对核心区起着补充作用。该区域严格控制破坏东北黑蜂及其采食的蜜粉源植物的行为，同时，严格禁止非东北黑蜂种群在此区域放养。</w:t>
            </w:r>
          </w:p>
          <w:p w14:paraId="18FA8A52">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39" w:name="_Toc98530880"/>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.9.3实验区</w:t>
            </w:r>
            <w:bookmarkEnd w:id="39"/>
          </w:p>
          <w:p w14:paraId="2CCEB3B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实验区分布在缓冲区外围，实验区总面积为335516hm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主要为村屯、交通干道、农田、小村镇等占用地和主要人口集中分布区，蜜粉源植物分布较少的区域。可适度进行污染小、破坏生态环境少、规模适度的生态经济开发建设，但严格禁止非东北黑蜂种群在此区域放养。</w:t>
            </w:r>
          </w:p>
          <w:p w14:paraId="36FDDE8A">
            <w:pPr>
              <w:pStyle w:val="108"/>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sz w:val="21"/>
                <w:szCs w:val="21"/>
                <w:highlight w:val="none"/>
              </w:rPr>
            </w:pPr>
            <w:bookmarkStart w:id="40" w:name="_Toc98530882"/>
            <w:r>
              <w:rPr>
                <w:rFonts w:hint="eastAsia"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.10主要生态问题调查</w:t>
            </w:r>
            <w:bookmarkEnd w:id="40"/>
          </w:p>
          <w:p w14:paraId="7186FE9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饶河东北黑蜂保护区所辖区范围，均在农垦总局管辖之内，土地使用权及其权属证均归农垦系统所有，饶河东北黑蜂保护区覆盖了饶河县的全部行政范围，共涉及9个乡镇、5个国营农场、5个林场，人口约14.2万人。现将饶河县下辖的9个乡镇政府驻地及5个国营农场场部驻地、建成区密集人口地调出保护区。均已承认保护区界限，因此，饶河东北黑蜂保护区边界清楚，无土地使用权属纠纷。</w:t>
            </w:r>
          </w:p>
          <w:p w14:paraId="57C305C4">
            <w:pPr>
              <w:pStyle w:val="56"/>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保护区成立以前，农业的开垦和水利的防洪排涝，使湿地蓄水量减少，面积缩减，功能退化；畜牧业的散牧，使湿地植被破坏；违章建筑的增多，使保护区树木减少，风沙范围扩大；环境污染导致水体环境发生极大变化，富营养化加强，水生植物暴长，河面几近封锁，水生动物大量死亡。在保护区成立的十多年中，虽然做了大量的工作，但仍需面对一些影响保护的具体问题。</w:t>
            </w:r>
          </w:p>
          <w:p w14:paraId="3CD09E74">
            <w:pPr>
              <w:pStyle w:val="56"/>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黑龙江乌苏里江国家湿地公园</w:t>
            </w:r>
          </w:p>
          <w:p w14:paraId="459924E2">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黑龙江乌苏里江国家湿地公园位于黑龙江省双鸭山市饶河县东部，以乌苏里江为纽带，整体呈带状南北方向分布，包括乌苏里江饶河段及沿岸湿地，南至东北黑峰工业园区，北至王家店一线，西至口岸路和饶建路。地理坐标为N46°44'01-46°50'24"，E133°58'14"-134°02'49"，东西距离5.6km，南北距离11.27km，总面积1618.36h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p>
          <w:p w14:paraId="2D88636B">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乌苏里江国家湿地公园区域内湿地生态系统主要由河流、沼泽湿地和草甸、灌丛、森林等多种植被类型共同组成，公园内有高等植物464种，有脊椎动物256多种，其中有国家I级重点保护野生动物11种，国家二级重点保护野生动物45种，黑龙江省重点保护野生动物40种。</w:t>
            </w:r>
          </w:p>
          <w:p w14:paraId="0E8746FA">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七、</w:t>
            </w:r>
            <w:r>
              <w:rPr>
                <w:rFonts w:hint="eastAsia" w:eastAsia="宋体"/>
                <w:color w:val="auto"/>
                <w:sz w:val="21"/>
                <w:szCs w:val="21"/>
                <w:highlight w:val="none"/>
                <w:lang w:eastAsia="zh-CN"/>
              </w:rPr>
              <w:t>三江平原生物多样性维护功能生态保护红线</w:t>
            </w:r>
          </w:p>
          <w:p w14:paraId="74F77F8B">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重要性：生物多样性保护是三江平原湿地生态系统的一项重要生态服务功能，具有提供植物产品及副产品、气候调节、土壤形成、供水与涵养、教育科研、休闲娱乐等多种经济价值，对促进地区经济协调发展和提高社会福祉状况意义重大。</w:t>
            </w:r>
          </w:p>
          <w:p w14:paraId="3F3D8C2A">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划定范围：禁止开发区域纳入：国家级和省级禁止开发区域，如自然保护区、森林公园生态保育区和核心景观区、湿地公园湿地保育区和恢复重建区等，根据生态评估结果确定纳入红线的具体范围。此外，市、县级自然保护区，极小种群物种栖息地，重要湿地等有必要严格保护的各类保护地也可纳入。</w:t>
            </w:r>
          </w:p>
          <w:p w14:paraId="256CA61F">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生态功能重要区和敏感脆弱区纳入：三江平原湿地生态功能区是重要生态功能区之一，其中生态功能极重要区域和生态环境极敏感脆弱区域会纳入生态保护红线，确保涵盖各类禁止开发区域及其他需严格保护的保护地。</w:t>
            </w:r>
          </w:p>
          <w:p w14:paraId="5C9C8189">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管理要求：生态保护红线区域原则上按禁止开发区域进行管理，严禁不符合主体功能定位的各类开发活动，严禁任意改变用途。要实施生态保护红线保护与修复，优先保护良好生态系统和重要物种栖息地。</w:t>
            </w:r>
          </w:p>
          <w:p w14:paraId="5B18B072">
            <w:pPr>
              <w:pStyle w:val="5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cs="Times New Roman"/>
                <w:color w:val="FF0000"/>
                <w:sz w:val="21"/>
                <w:szCs w:val="21"/>
                <w:highlight w:val="none"/>
                <w:lang w:val="en-US" w:eastAsia="zh-CN"/>
              </w:rPr>
            </w:pPr>
            <w:r>
              <w:rPr>
                <w:rFonts w:hint="eastAsia" w:cs="Times New Roman"/>
                <w:color w:val="auto"/>
                <w:sz w:val="21"/>
                <w:szCs w:val="21"/>
                <w:highlight w:val="none"/>
                <w:lang w:val="en-US" w:eastAsia="zh-CN"/>
              </w:rPr>
              <w:t>本工程位于饶河县三江平原生物多样性维护功能生态保护红线-水源涵养生态功能重要区，本项目不属于水源涵养功能极重要区禁止开发建设活动要求，并且能起到保护水源的作用；工程运行期间不产生废水、废气等污染物；施工期间产生的生活污水不外排；大气污染物通过洒水降尘等措施有效抑尘；在严格落实本报告提出的各项措施后，工程建设对外环境影响较小，工程实施前征得各保护地行政主管部门同意且履行相关手续后，符合生态保护红线管理要求。</w:t>
            </w:r>
          </w:p>
        </w:tc>
      </w:tr>
      <w:tr w14:paraId="7DC536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93" w:type="pct"/>
            <w:vAlign w:val="center"/>
          </w:tcPr>
          <w:p w14:paraId="5BCDB352">
            <w:pPr>
              <w:adjustRightInd w:val="0"/>
              <w:snapToGrid w:val="0"/>
              <w:jc w:val="center"/>
              <w:rPr>
                <w:color w:val="auto"/>
                <w:kern w:val="0"/>
                <w:szCs w:val="21"/>
                <w:highlight w:val="none"/>
              </w:rPr>
            </w:pPr>
            <w:r>
              <w:rPr>
                <w:bCs/>
                <w:color w:val="auto"/>
                <w:szCs w:val="21"/>
                <w:highlight w:val="none"/>
              </w:rPr>
              <w:t>与项目有关的原有环境污染和生态破坏问题</w:t>
            </w:r>
          </w:p>
        </w:tc>
        <w:tc>
          <w:tcPr>
            <w:tcW w:w="4407" w:type="pct"/>
            <w:vAlign w:val="center"/>
          </w:tcPr>
          <w:p w14:paraId="4C84A29F">
            <w:pPr>
              <w:pStyle w:val="56"/>
              <w:ind w:firstLine="420"/>
              <w:rPr>
                <w:color w:val="auto"/>
                <w:highlight w:val="none"/>
              </w:rPr>
            </w:pPr>
            <w:r>
              <w:rPr>
                <w:rFonts w:hint="eastAsia"/>
                <w:color w:val="auto"/>
                <w:highlight w:val="none"/>
              </w:rPr>
              <w:t>本工程现状及存在的主要问题如下：</w:t>
            </w:r>
          </w:p>
          <w:p w14:paraId="17EF4E15">
            <w:pPr>
              <w:keepNext w:val="0"/>
              <w:keepLines w:val="0"/>
              <w:pageBreakBefore w:val="0"/>
              <w:widowControl w:val="0"/>
              <w:kinsoku/>
              <w:wordWrap/>
              <w:overflowPunct/>
              <w:topLinePunct w:val="0"/>
              <w:autoSpaceDE/>
              <w:autoSpaceDN/>
              <w:bidi w:val="0"/>
              <w:adjustRightInd/>
              <w:snapToGrid/>
              <w:spacing w:line="360" w:lineRule="auto"/>
              <w:ind w:left="0" w:right="0" w:firstLine="396" w:firstLineChars="200"/>
              <w:jc w:val="both"/>
              <w:textAlignment w:val="auto"/>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rPr>
              <w:t>环保手续履行情况</w:t>
            </w:r>
            <w:r>
              <w:rPr>
                <w:rFonts w:hint="eastAsia"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大带河堤防</w:t>
            </w:r>
            <w:r>
              <w:rPr>
                <w:rFonts w:hint="default" w:ascii="Times New Roman" w:hAnsi="Times New Roman" w:eastAsia="宋体" w:cs="Times New Roman"/>
                <w:color w:val="auto"/>
                <w:spacing w:val="-6"/>
                <w:sz w:val="21"/>
                <w:szCs w:val="21"/>
                <w:highlight w:val="none"/>
                <w:lang w:val="en-US" w:eastAsia="zh-CN"/>
              </w:rPr>
              <w:t>始建于2012年，自建设至今未履行过环保手续。</w:t>
            </w:r>
          </w:p>
          <w:p w14:paraId="0D716A02">
            <w:pPr>
              <w:keepNext w:val="0"/>
              <w:keepLines w:val="0"/>
              <w:pageBreakBefore w:val="0"/>
              <w:widowControl w:val="0"/>
              <w:kinsoku/>
              <w:wordWrap/>
              <w:overflowPunct/>
              <w:topLinePunct w:val="0"/>
              <w:autoSpaceDE/>
              <w:autoSpaceDN/>
              <w:bidi w:val="0"/>
              <w:adjustRightInd/>
              <w:snapToGrid/>
              <w:spacing w:line="360" w:lineRule="auto"/>
              <w:ind w:left="0" w:right="0" w:firstLine="396" w:firstLineChars="200"/>
              <w:jc w:val="both"/>
              <w:textAlignment w:val="auto"/>
              <w:rPr>
                <w:rFonts w:hint="eastAsia"/>
                <w:color w:val="auto"/>
                <w:spacing w:val="-13"/>
                <w:highlight w:val="none"/>
                <w:lang w:eastAsia="zh-CN"/>
              </w:rPr>
            </w:pPr>
            <w:r>
              <w:rPr>
                <w:rFonts w:hint="eastAsia"/>
                <w:color w:val="auto"/>
                <w:spacing w:val="-6"/>
                <w:highlight w:val="none"/>
              </w:rPr>
              <w:t>原有工程现状</w:t>
            </w:r>
            <w:r>
              <w:rPr>
                <w:rFonts w:hint="eastAsia"/>
                <w:color w:val="auto"/>
                <w:spacing w:val="-6"/>
                <w:highlight w:val="none"/>
                <w:lang w:eastAsia="zh-CN"/>
              </w:rPr>
              <w:t>：</w:t>
            </w:r>
            <w:r>
              <w:rPr>
                <w:color w:val="auto"/>
                <w:spacing w:val="-6"/>
                <w:highlight w:val="none"/>
              </w:rPr>
              <w:t>大带河堤防经过多年整修加固，现状工程对干流沿岸防洪保安发挥了重要的</w:t>
            </w:r>
            <w:r>
              <w:rPr>
                <w:color w:val="auto"/>
                <w:spacing w:val="-13"/>
                <w:highlight w:val="none"/>
              </w:rPr>
              <w:t>作用，使洪涝灾害能够得以保障</w:t>
            </w:r>
            <w:r>
              <w:rPr>
                <w:rFonts w:hint="eastAsia"/>
                <w:color w:val="auto"/>
                <w:spacing w:val="-13"/>
                <w:highlight w:val="none"/>
                <w:lang w:eastAsia="zh-CN"/>
              </w:rPr>
              <w:t>。现有堤防存在的问题如果不及时处理，一遇大洪水将险象环生，给防汛调度和抗洪抢险增加很大困难，将严重威胁着</w:t>
            </w:r>
            <w:r>
              <w:rPr>
                <w:rFonts w:hint="eastAsia"/>
                <w:color w:val="auto"/>
                <w:spacing w:val="-13"/>
                <w:highlight w:val="none"/>
                <w:lang w:val="en-US" w:eastAsia="zh-CN"/>
              </w:rPr>
              <w:t>大带河</w:t>
            </w:r>
            <w:r>
              <w:rPr>
                <w:rFonts w:hint="eastAsia"/>
                <w:color w:val="auto"/>
                <w:spacing w:val="-13"/>
                <w:highlight w:val="none"/>
                <w:lang w:eastAsia="zh-CN"/>
              </w:rPr>
              <w:t>沿岸人民生命财产及农田的安全。</w:t>
            </w:r>
          </w:p>
          <w:p w14:paraId="5D3532B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jc w:val="both"/>
              <w:textAlignment w:val="auto"/>
              <w:rPr>
                <w:highlight w:val="none"/>
              </w:rPr>
            </w:pPr>
            <w:r>
              <w:rPr>
                <w:rStyle w:val="102"/>
                <w:rFonts w:hint="eastAsia" w:eastAsia="宋体" w:cs="Times New Roman"/>
                <w:color w:val="auto"/>
                <w:sz w:val="21"/>
                <w:szCs w:val="21"/>
                <w:highlight w:val="none"/>
                <w:lang w:val="en-US" w:eastAsia="zh-CN"/>
              </w:rPr>
              <w:t>原有工程存在的主要环境问题：大带河</w:t>
            </w:r>
            <w:r>
              <w:rPr>
                <w:rStyle w:val="102"/>
                <w:rFonts w:hint="eastAsia" w:cs="Times New Roman"/>
                <w:color w:val="auto"/>
                <w:sz w:val="21"/>
                <w:szCs w:val="21"/>
                <w:highlight w:val="none"/>
              </w:rPr>
              <w:t>现有堤防工程</w:t>
            </w:r>
            <w:r>
              <w:rPr>
                <w:rStyle w:val="102"/>
                <w:rFonts w:hint="eastAsia" w:eastAsia="宋体" w:cs="Times New Roman"/>
                <w:color w:val="auto"/>
                <w:sz w:val="21"/>
                <w:szCs w:val="21"/>
                <w:highlight w:val="none"/>
                <w:lang w:val="en-US" w:eastAsia="zh-CN"/>
              </w:rPr>
              <w:t>堤顶高程达到了设计防护标准，即满足</w:t>
            </w:r>
            <w:r>
              <w:rPr>
                <w:rStyle w:val="102"/>
                <w:rFonts w:hint="eastAsia" w:cs="Times New Roman"/>
                <w:color w:val="auto"/>
                <w:sz w:val="21"/>
                <w:szCs w:val="21"/>
                <w:highlight w:val="none"/>
              </w:rPr>
              <w:t>20年一遇</w:t>
            </w:r>
            <w:r>
              <w:rPr>
                <w:rStyle w:val="102"/>
                <w:rFonts w:hint="eastAsia" w:eastAsia="宋体" w:cs="Times New Roman"/>
                <w:color w:val="auto"/>
                <w:sz w:val="21"/>
                <w:szCs w:val="21"/>
                <w:highlight w:val="none"/>
                <w:lang w:val="en-US" w:eastAsia="zh-CN"/>
              </w:rPr>
              <w:t>防洪标准，</w:t>
            </w:r>
            <w:r>
              <w:rPr>
                <w:rStyle w:val="102"/>
                <w:rFonts w:hint="eastAsia" w:cs="Times New Roman"/>
                <w:color w:val="auto"/>
                <w:sz w:val="21"/>
                <w:szCs w:val="21"/>
                <w:highlight w:val="none"/>
              </w:rPr>
              <w:t>由于受投入资金限制和缺少维修管理经费，</w:t>
            </w:r>
            <w:r>
              <w:rPr>
                <w:rStyle w:val="102"/>
                <w:rFonts w:hint="eastAsia" w:eastAsia="宋体" w:cs="Times New Roman"/>
                <w:color w:val="auto"/>
                <w:sz w:val="21"/>
                <w:szCs w:val="21"/>
                <w:highlight w:val="none"/>
                <w:lang w:val="en-US" w:eastAsia="zh-CN"/>
              </w:rPr>
              <w:t>大带河</w:t>
            </w:r>
            <w:r>
              <w:rPr>
                <w:rStyle w:val="102"/>
                <w:rFonts w:hint="eastAsia" w:cs="Times New Roman"/>
                <w:color w:val="auto"/>
                <w:sz w:val="21"/>
                <w:szCs w:val="21"/>
                <w:highlight w:val="none"/>
              </w:rPr>
              <w:t>现有堤防工程</w:t>
            </w:r>
            <w:r>
              <w:rPr>
                <w:rStyle w:val="102"/>
                <w:rFonts w:hint="eastAsia" w:eastAsia="宋体" w:cs="Times New Roman"/>
                <w:color w:val="auto"/>
                <w:sz w:val="21"/>
                <w:szCs w:val="21"/>
                <w:highlight w:val="none"/>
                <w:lang w:val="en-US" w:eastAsia="zh-CN"/>
              </w:rPr>
              <w:t>普遍</w:t>
            </w:r>
            <w:r>
              <w:rPr>
                <w:rStyle w:val="102"/>
                <w:rFonts w:hint="eastAsia" w:cs="Times New Roman"/>
                <w:color w:val="auto"/>
                <w:sz w:val="21"/>
                <w:szCs w:val="21"/>
                <w:highlight w:val="none"/>
              </w:rPr>
              <w:t>堤身断面瘦小，险工多，缺少护坡等措施。</w:t>
            </w:r>
            <w:r>
              <w:rPr>
                <w:rFonts w:hint="eastAsia" w:ascii="Times New Roman" w:hAnsi="Times New Roman" w:eastAsia="宋体" w:cs="Times New Roman"/>
                <w:color w:val="auto"/>
                <w:kern w:val="2"/>
                <w:sz w:val="21"/>
                <w:szCs w:val="21"/>
                <w:highlight w:val="none"/>
                <w:lang w:val="en-US" w:eastAsia="zh-CN" w:bidi="ar-SA"/>
              </w:rPr>
              <w:t>堤防边坡较陡，不满足稳定要求，汛期局部脱坡严重，堤防大面积发生管涌渗水，</w:t>
            </w:r>
            <w:r>
              <w:rPr>
                <w:rStyle w:val="102"/>
                <w:rFonts w:hint="eastAsia" w:cs="Times New Roman"/>
                <w:color w:val="auto"/>
                <w:sz w:val="21"/>
                <w:szCs w:val="21"/>
                <w:highlight w:val="none"/>
              </w:rPr>
              <w:t>因此</w:t>
            </w:r>
            <w:r>
              <w:rPr>
                <w:rStyle w:val="102"/>
                <w:rFonts w:hint="eastAsia" w:cs="Times New Roman"/>
                <w:color w:val="auto"/>
                <w:sz w:val="21"/>
                <w:szCs w:val="21"/>
                <w:highlight w:val="none"/>
                <w:lang w:eastAsia="zh-CN"/>
              </w:rPr>
              <w:t>，</w:t>
            </w:r>
            <w:r>
              <w:rPr>
                <w:rStyle w:val="102"/>
                <w:rFonts w:hint="eastAsia" w:cs="Times New Roman"/>
                <w:color w:val="auto"/>
                <w:sz w:val="21"/>
                <w:szCs w:val="21"/>
                <w:highlight w:val="none"/>
              </w:rPr>
              <w:t>当出现设计标准洪水时，常常出现极度紧张的防汛抢险局面。</w:t>
            </w:r>
            <w:r>
              <w:rPr>
                <w:rStyle w:val="102"/>
                <w:rFonts w:hint="eastAsia" w:cs="Times New Roman"/>
                <w:color w:val="auto"/>
                <w:sz w:val="21"/>
                <w:szCs w:val="21"/>
                <w:highlight w:val="none"/>
                <w:lang w:val="en-US" w:eastAsia="zh-CN"/>
              </w:rPr>
              <w:t>洪水</w:t>
            </w:r>
            <w:r>
              <w:rPr>
                <w:rFonts w:hint="default" w:ascii="Times New Roman" w:hAnsi="Times New Roman" w:eastAsia="宋体" w:cs="Times New Roman"/>
                <w:color w:val="auto"/>
                <w:spacing w:val="-6"/>
                <w:sz w:val="21"/>
                <w:szCs w:val="21"/>
                <w:highlight w:val="none"/>
                <w:lang w:val="en-US" w:eastAsia="zh-CN"/>
              </w:rPr>
              <w:t>冲刷沿线耕地，不仅造成大量水土流失，削弱农田肥力，退水时还将面源污染带回河流，对河流水质造成不利影响。本次项目实施后，不仅可以减少洪灾带来的损失，还可以减少洪水泛滥期间面源污染对河流水质的不利影响。</w:t>
            </w:r>
          </w:p>
        </w:tc>
      </w:tr>
      <w:tr w14:paraId="4AE66F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93" w:type="pct"/>
            <w:vAlign w:val="center"/>
          </w:tcPr>
          <w:p w14:paraId="11BDEF38">
            <w:pPr>
              <w:adjustRightInd w:val="0"/>
              <w:snapToGrid w:val="0"/>
              <w:jc w:val="center"/>
              <w:rPr>
                <w:color w:val="FF0000"/>
                <w:kern w:val="0"/>
                <w:szCs w:val="21"/>
                <w:highlight w:val="none"/>
              </w:rPr>
            </w:pPr>
            <w:r>
              <w:rPr>
                <w:color w:val="auto"/>
                <w:kern w:val="0"/>
                <w:szCs w:val="21"/>
                <w:highlight w:val="none"/>
              </w:rPr>
              <w:t>生态环境保护目标</w:t>
            </w:r>
          </w:p>
        </w:tc>
        <w:tc>
          <w:tcPr>
            <w:tcW w:w="4407" w:type="pct"/>
            <w:vAlign w:val="center"/>
          </w:tcPr>
          <w:p w14:paraId="4E328BF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工程评价范围内的环境敏感区主要为黑龙江饶河东北黑蜂国家级自然保护区、黑龙江饶河乌苏里江国家湿地公园和饶河县生态保护红线。本工程建设应确保自然保护区、湿地公园及生态保护红线内生态环境质量，维持环境敏感区内生态系统稳。加强施工期水环境、声环境、大气环境等措施设计，确保区域环境质量不降低。</w:t>
            </w:r>
            <w:r>
              <w:rPr>
                <w:rFonts w:hint="eastAsia" w:cs="Times New Roman"/>
                <w:color w:val="auto"/>
                <w:kern w:val="2"/>
                <w:sz w:val="21"/>
                <w:szCs w:val="21"/>
                <w:highlight w:val="none"/>
                <w:lang w:val="en-US" w:eastAsia="zh-CN" w:bidi="ar-SA"/>
              </w:rPr>
              <w:t>本项目建筑材料由售卖方运输，经国道331后行驶约300m到达本项目位置，此段300m运输路线范围内不存在村屯居民环境敏感目标。</w:t>
            </w:r>
          </w:p>
          <w:p w14:paraId="109C09A7">
            <w:pPr>
              <w:pStyle w:val="7"/>
              <w:keepNext/>
              <w:keepLines w:val="0"/>
              <w:pageBreakBefore w:val="0"/>
              <w:widowControl w:val="0"/>
              <w:kinsoku/>
              <w:wordWrap/>
              <w:overflowPunct/>
              <w:topLinePunct w:val="0"/>
              <w:autoSpaceDE/>
              <w:autoSpaceDN/>
              <w:bidi w:val="0"/>
              <w:adjustRightInd/>
              <w:snapToGrid/>
              <w:ind w:firstLine="0"/>
              <w:textAlignment w:val="auto"/>
              <w:rPr>
                <w:rFonts w:hint="default" w:ascii="Times New Roman" w:hAnsi="Times New Roman" w:eastAsia="黑体" w:cs="Times New Roman"/>
                <w:b w:val="0"/>
                <w:color w:val="auto"/>
                <w:kern w:val="0"/>
                <w:sz w:val="21"/>
                <w:szCs w:val="20"/>
                <w:highlight w:val="none"/>
                <w:lang w:val="en-US" w:eastAsia="zh-CN" w:bidi="ar-SA"/>
              </w:rPr>
            </w:pPr>
            <w:r>
              <w:rPr>
                <w:rFonts w:hint="default" w:ascii="Times New Roman" w:hAnsi="Times New Roman" w:eastAsia="黑体" w:cs="Times New Roman"/>
                <w:b w:val="0"/>
                <w:color w:val="auto"/>
                <w:kern w:val="0"/>
                <w:sz w:val="21"/>
                <w:szCs w:val="20"/>
                <w:highlight w:val="none"/>
                <w:lang w:val="en-US" w:eastAsia="zh-CN" w:bidi="ar-SA"/>
              </w:rPr>
              <w:t>表</w:t>
            </w:r>
            <w:r>
              <w:rPr>
                <w:rFonts w:hint="eastAsia" w:ascii="Times New Roman" w:hAnsi="Times New Roman" w:eastAsia="黑体" w:cs="Times New Roman"/>
                <w:b w:val="0"/>
                <w:color w:val="auto"/>
                <w:kern w:val="0"/>
                <w:sz w:val="21"/>
                <w:szCs w:val="20"/>
                <w:highlight w:val="none"/>
                <w:lang w:val="en-US" w:eastAsia="zh-CN" w:bidi="ar-SA"/>
              </w:rPr>
              <w:t>3-</w:t>
            </w:r>
            <w:r>
              <w:rPr>
                <w:rFonts w:hint="eastAsia" w:eastAsia="黑体" w:cs="Times New Roman"/>
                <w:b w:val="0"/>
                <w:color w:val="auto"/>
                <w:kern w:val="0"/>
                <w:sz w:val="21"/>
                <w:szCs w:val="20"/>
                <w:highlight w:val="none"/>
                <w:lang w:val="en-US" w:eastAsia="zh-CN" w:bidi="ar-SA"/>
              </w:rPr>
              <w:t>8</w:t>
            </w:r>
            <w:r>
              <w:rPr>
                <w:rFonts w:hint="eastAsia" w:ascii="Times New Roman" w:hAnsi="Times New Roman" w:eastAsia="黑体" w:cs="Times New Roman"/>
                <w:b w:val="0"/>
                <w:color w:val="auto"/>
                <w:kern w:val="0"/>
                <w:sz w:val="21"/>
                <w:szCs w:val="20"/>
                <w:highlight w:val="none"/>
                <w:lang w:val="en-US" w:eastAsia="zh-CN" w:bidi="ar-SA"/>
              </w:rPr>
              <w:t xml:space="preserve">  </w:t>
            </w:r>
            <w:r>
              <w:rPr>
                <w:rFonts w:hint="default" w:ascii="Times New Roman" w:hAnsi="Times New Roman" w:eastAsia="黑体" w:cs="Times New Roman"/>
                <w:b w:val="0"/>
                <w:color w:val="auto"/>
                <w:kern w:val="0"/>
                <w:sz w:val="21"/>
                <w:szCs w:val="20"/>
                <w:highlight w:val="none"/>
                <w:lang w:val="en-US" w:eastAsia="zh-CN" w:bidi="ar-SA"/>
              </w:rPr>
              <w:t>环境保护对象及保护标准</w:t>
            </w:r>
          </w:p>
          <w:tbl>
            <w:tblPr>
              <w:tblStyle w:val="27"/>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61"/>
              <w:gridCol w:w="1199"/>
              <w:gridCol w:w="1448"/>
              <w:gridCol w:w="1514"/>
              <w:gridCol w:w="2168"/>
            </w:tblGrid>
            <w:tr w14:paraId="6AE14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tcBorders>
                    <w:tl2br w:val="nil"/>
                    <w:tr2bl w:val="nil"/>
                  </w:tcBorders>
                  <w:vAlign w:val="center"/>
                </w:tcPr>
                <w:p w14:paraId="108C1D77">
                  <w:pPr>
                    <w:pStyle w:val="98"/>
                    <w:rPr>
                      <w:rFonts w:cs="Times New Roman"/>
                      <w:color w:val="auto"/>
                      <w:sz w:val="18"/>
                      <w:szCs w:val="18"/>
                      <w:highlight w:val="none"/>
                    </w:rPr>
                  </w:pPr>
                  <w:r>
                    <w:rPr>
                      <w:rFonts w:cs="Times New Roman"/>
                      <w:color w:val="auto"/>
                      <w:sz w:val="18"/>
                      <w:szCs w:val="18"/>
                      <w:highlight w:val="none"/>
                    </w:rPr>
                    <w:t>环境要素</w:t>
                  </w:r>
                </w:p>
              </w:tc>
              <w:tc>
                <w:tcPr>
                  <w:tcW w:w="1199" w:type="dxa"/>
                  <w:tcBorders>
                    <w:tl2br w:val="nil"/>
                    <w:tr2bl w:val="nil"/>
                  </w:tcBorders>
                  <w:vAlign w:val="center"/>
                </w:tcPr>
                <w:p w14:paraId="3C834A7B">
                  <w:pPr>
                    <w:pStyle w:val="98"/>
                    <w:rPr>
                      <w:rFonts w:cs="Times New Roman"/>
                      <w:color w:val="auto"/>
                      <w:sz w:val="18"/>
                      <w:szCs w:val="18"/>
                      <w:highlight w:val="none"/>
                    </w:rPr>
                  </w:pPr>
                  <w:r>
                    <w:rPr>
                      <w:rFonts w:cs="Times New Roman"/>
                      <w:color w:val="auto"/>
                      <w:sz w:val="18"/>
                      <w:szCs w:val="18"/>
                      <w:highlight w:val="none"/>
                    </w:rPr>
                    <w:t>环境保护目标</w:t>
                  </w:r>
                </w:p>
              </w:tc>
              <w:tc>
                <w:tcPr>
                  <w:tcW w:w="1448" w:type="dxa"/>
                  <w:tcBorders>
                    <w:tl2br w:val="nil"/>
                    <w:tr2bl w:val="nil"/>
                  </w:tcBorders>
                  <w:vAlign w:val="center"/>
                </w:tcPr>
                <w:p w14:paraId="1B5A27F2">
                  <w:pPr>
                    <w:pStyle w:val="98"/>
                    <w:rPr>
                      <w:rFonts w:cs="Times New Roman"/>
                      <w:color w:val="auto"/>
                      <w:sz w:val="18"/>
                      <w:szCs w:val="18"/>
                      <w:highlight w:val="none"/>
                    </w:rPr>
                  </w:pPr>
                  <w:r>
                    <w:rPr>
                      <w:rFonts w:cs="Times New Roman"/>
                      <w:color w:val="auto"/>
                      <w:sz w:val="18"/>
                      <w:szCs w:val="18"/>
                      <w:highlight w:val="none"/>
                    </w:rPr>
                    <w:t>主要保护对象</w:t>
                  </w:r>
                </w:p>
              </w:tc>
              <w:tc>
                <w:tcPr>
                  <w:tcW w:w="1514" w:type="dxa"/>
                  <w:tcBorders>
                    <w:tl2br w:val="nil"/>
                    <w:tr2bl w:val="nil"/>
                  </w:tcBorders>
                  <w:vAlign w:val="center"/>
                </w:tcPr>
                <w:p w14:paraId="5F14CB40">
                  <w:pPr>
                    <w:pStyle w:val="98"/>
                    <w:rPr>
                      <w:rFonts w:cs="Times New Roman"/>
                      <w:color w:val="auto"/>
                      <w:sz w:val="18"/>
                      <w:szCs w:val="18"/>
                      <w:highlight w:val="none"/>
                    </w:rPr>
                  </w:pPr>
                  <w:r>
                    <w:rPr>
                      <w:rFonts w:cs="Times New Roman"/>
                      <w:color w:val="auto"/>
                      <w:sz w:val="18"/>
                      <w:szCs w:val="18"/>
                      <w:highlight w:val="none"/>
                    </w:rPr>
                    <w:t>与工程位置关系</w:t>
                  </w:r>
                </w:p>
              </w:tc>
              <w:tc>
                <w:tcPr>
                  <w:tcW w:w="2168" w:type="dxa"/>
                  <w:tcBorders>
                    <w:tl2br w:val="nil"/>
                    <w:tr2bl w:val="nil"/>
                  </w:tcBorders>
                  <w:vAlign w:val="center"/>
                </w:tcPr>
                <w:p w14:paraId="2329E3F3">
                  <w:pPr>
                    <w:pStyle w:val="98"/>
                    <w:rPr>
                      <w:rFonts w:cs="Times New Roman"/>
                      <w:color w:val="auto"/>
                      <w:sz w:val="18"/>
                      <w:szCs w:val="18"/>
                      <w:highlight w:val="none"/>
                    </w:rPr>
                  </w:pPr>
                  <w:r>
                    <w:rPr>
                      <w:rFonts w:cs="Times New Roman"/>
                      <w:color w:val="auto"/>
                      <w:sz w:val="18"/>
                      <w:szCs w:val="18"/>
                      <w:highlight w:val="none"/>
                    </w:rPr>
                    <w:t>控制标准及保护要求</w:t>
                  </w:r>
                </w:p>
              </w:tc>
            </w:tr>
            <w:tr w14:paraId="157E7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tcBorders>
                    <w:tl2br w:val="nil"/>
                    <w:tr2bl w:val="nil"/>
                  </w:tcBorders>
                  <w:vAlign w:val="center"/>
                </w:tcPr>
                <w:p w14:paraId="446C7AB5">
                  <w:pPr>
                    <w:pStyle w:val="98"/>
                    <w:rPr>
                      <w:rFonts w:cs="Times New Roman"/>
                      <w:color w:val="auto"/>
                      <w:sz w:val="18"/>
                      <w:szCs w:val="18"/>
                      <w:highlight w:val="none"/>
                    </w:rPr>
                  </w:pPr>
                  <w:r>
                    <w:rPr>
                      <w:rFonts w:cs="Times New Roman"/>
                      <w:color w:val="auto"/>
                      <w:sz w:val="18"/>
                      <w:szCs w:val="18"/>
                      <w:highlight w:val="none"/>
                    </w:rPr>
                    <w:t>地表水环境</w:t>
                  </w:r>
                </w:p>
              </w:tc>
              <w:tc>
                <w:tcPr>
                  <w:tcW w:w="1199" w:type="dxa"/>
                  <w:tcBorders>
                    <w:tl2br w:val="nil"/>
                    <w:tr2bl w:val="nil"/>
                  </w:tcBorders>
                  <w:vAlign w:val="center"/>
                </w:tcPr>
                <w:p w14:paraId="444A140B">
                  <w:pPr>
                    <w:pStyle w:val="98"/>
                    <w:rPr>
                      <w:rFonts w:cs="Times New Roman"/>
                      <w:color w:val="auto"/>
                      <w:sz w:val="18"/>
                      <w:szCs w:val="18"/>
                      <w:highlight w:val="none"/>
                    </w:rPr>
                  </w:pPr>
                  <w:r>
                    <w:rPr>
                      <w:rFonts w:cs="Times New Roman"/>
                      <w:color w:val="auto"/>
                      <w:sz w:val="18"/>
                      <w:szCs w:val="18"/>
                      <w:highlight w:val="none"/>
                    </w:rPr>
                    <w:t>大带河</w:t>
                  </w:r>
                </w:p>
              </w:tc>
              <w:tc>
                <w:tcPr>
                  <w:tcW w:w="1448" w:type="dxa"/>
                  <w:tcBorders>
                    <w:tl2br w:val="nil"/>
                    <w:tr2bl w:val="nil"/>
                  </w:tcBorders>
                  <w:vAlign w:val="center"/>
                </w:tcPr>
                <w:p w14:paraId="149C611B">
                  <w:pPr>
                    <w:pStyle w:val="98"/>
                    <w:rPr>
                      <w:rFonts w:cs="Times New Roman"/>
                      <w:color w:val="auto"/>
                      <w:sz w:val="18"/>
                      <w:szCs w:val="18"/>
                      <w:highlight w:val="none"/>
                    </w:rPr>
                  </w:pPr>
                  <w:r>
                    <w:rPr>
                      <w:rFonts w:cs="Times New Roman"/>
                      <w:color w:val="auto"/>
                      <w:sz w:val="18"/>
                      <w:szCs w:val="18"/>
                      <w:highlight w:val="none"/>
                    </w:rPr>
                    <w:t>水质</w:t>
                  </w:r>
                </w:p>
              </w:tc>
              <w:tc>
                <w:tcPr>
                  <w:tcW w:w="1514" w:type="dxa"/>
                  <w:tcBorders>
                    <w:tl2br w:val="nil"/>
                    <w:tr2bl w:val="nil"/>
                  </w:tcBorders>
                  <w:vAlign w:val="center"/>
                </w:tcPr>
                <w:p w14:paraId="3C6A957C">
                  <w:pPr>
                    <w:pStyle w:val="98"/>
                    <w:rPr>
                      <w:rFonts w:hint="eastAsia"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168" w:type="dxa"/>
                  <w:tcBorders>
                    <w:tl2br w:val="nil"/>
                    <w:tr2bl w:val="nil"/>
                  </w:tcBorders>
                  <w:vAlign w:val="center"/>
                </w:tcPr>
                <w:p w14:paraId="4ADF949F">
                  <w:pPr>
                    <w:pStyle w:val="98"/>
                    <w:rPr>
                      <w:rFonts w:hint="eastAsia"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5AFCC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tcBorders>
                    <w:tl2br w:val="nil"/>
                    <w:tr2bl w:val="nil"/>
                  </w:tcBorders>
                  <w:vAlign w:val="center"/>
                </w:tcPr>
                <w:p w14:paraId="08121B0B">
                  <w:pPr>
                    <w:pStyle w:val="98"/>
                    <w:rPr>
                      <w:rFonts w:cs="Times New Roman"/>
                      <w:color w:val="auto"/>
                      <w:sz w:val="18"/>
                      <w:szCs w:val="18"/>
                      <w:highlight w:val="none"/>
                    </w:rPr>
                  </w:pPr>
                  <w:r>
                    <w:rPr>
                      <w:rFonts w:cs="Times New Roman"/>
                      <w:color w:val="auto"/>
                      <w:sz w:val="18"/>
                      <w:szCs w:val="18"/>
                      <w:highlight w:val="none"/>
                    </w:rPr>
                    <w:t>声环境</w:t>
                  </w:r>
                </w:p>
              </w:tc>
              <w:tc>
                <w:tcPr>
                  <w:tcW w:w="2647" w:type="dxa"/>
                  <w:gridSpan w:val="2"/>
                  <w:tcBorders>
                    <w:tl2br w:val="nil"/>
                    <w:tr2bl w:val="nil"/>
                  </w:tcBorders>
                  <w:vAlign w:val="center"/>
                </w:tcPr>
                <w:p w14:paraId="28FF0A7C">
                  <w:pPr>
                    <w:pStyle w:val="98"/>
                    <w:rPr>
                      <w:rFonts w:cs="Times New Roman"/>
                      <w:color w:val="auto"/>
                      <w:sz w:val="18"/>
                      <w:szCs w:val="18"/>
                      <w:highlight w:val="none"/>
                    </w:rPr>
                  </w:pPr>
                  <w:r>
                    <w:rPr>
                      <w:rFonts w:cs="Times New Roman"/>
                      <w:color w:val="auto"/>
                      <w:sz w:val="18"/>
                      <w:szCs w:val="18"/>
                      <w:highlight w:val="none"/>
                    </w:rPr>
                    <w:t>区域声环境</w:t>
                  </w:r>
                </w:p>
              </w:tc>
              <w:tc>
                <w:tcPr>
                  <w:tcW w:w="1514" w:type="dxa"/>
                  <w:vMerge w:val="restart"/>
                  <w:tcBorders>
                    <w:tl2br w:val="nil"/>
                    <w:tr2bl w:val="nil"/>
                  </w:tcBorders>
                  <w:vAlign w:val="center"/>
                </w:tcPr>
                <w:p w14:paraId="2EF49276">
                  <w:pPr>
                    <w:pStyle w:val="98"/>
                    <w:rPr>
                      <w:rFonts w:cs="Times New Roman"/>
                      <w:color w:val="auto"/>
                      <w:sz w:val="18"/>
                      <w:szCs w:val="18"/>
                      <w:highlight w:val="none"/>
                    </w:rPr>
                  </w:pPr>
                  <w:r>
                    <w:rPr>
                      <w:rFonts w:cs="Times New Roman"/>
                      <w:color w:val="auto"/>
                      <w:sz w:val="18"/>
                      <w:szCs w:val="18"/>
                      <w:highlight w:val="none"/>
                    </w:rPr>
                    <w:t>工程两侧200m范围内</w:t>
                  </w:r>
                </w:p>
              </w:tc>
              <w:tc>
                <w:tcPr>
                  <w:tcW w:w="2168" w:type="dxa"/>
                  <w:vMerge w:val="restart"/>
                  <w:tcBorders>
                    <w:tl2br w:val="nil"/>
                    <w:tr2bl w:val="nil"/>
                  </w:tcBorders>
                  <w:vAlign w:val="center"/>
                </w:tcPr>
                <w:p w14:paraId="1C1BD4E4">
                  <w:pPr>
                    <w:pStyle w:val="98"/>
                    <w:rPr>
                      <w:rFonts w:cs="Times New Roman"/>
                      <w:color w:val="auto"/>
                      <w:sz w:val="18"/>
                      <w:szCs w:val="18"/>
                      <w:highlight w:val="none"/>
                    </w:rPr>
                  </w:pPr>
                  <w:r>
                    <w:rPr>
                      <w:rFonts w:cs="Times New Roman"/>
                      <w:color w:val="auto"/>
                      <w:sz w:val="18"/>
                      <w:szCs w:val="18"/>
                      <w:highlight w:val="none"/>
                    </w:rPr>
                    <w:t>《环境空气质量标准》（GB3095-2012）一级标准；</w:t>
                  </w:r>
                </w:p>
                <w:p w14:paraId="07B390BC">
                  <w:pPr>
                    <w:pStyle w:val="98"/>
                    <w:rPr>
                      <w:rFonts w:cs="Times New Roman"/>
                      <w:color w:val="auto"/>
                      <w:sz w:val="18"/>
                      <w:szCs w:val="18"/>
                      <w:highlight w:val="none"/>
                    </w:rPr>
                  </w:pPr>
                  <w:r>
                    <w:rPr>
                      <w:rFonts w:cs="Times New Roman"/>
                      <w:color w:val="auto"/>
                      <w:sz w:val="18"/>
                      <w:szCs w:val="18"/>
                      <w:highlight w:val="none"/>
                    </w:rPr>
                    <w:t>《声环境质量标准》（GB3096-2008）1类标准</w:t>
                  </w:r>
                </w:p>
              </w:tc>
            </w:tr>
            <w:tr w14:paraId="1D0E2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tcBorders>
                    <w:tl2br w:val="nil"/>
                    <w:tr2bl w:val="nil"/>
                  </w:tcBorders>
                  <w:vAlign w:val="center"/>
                </w:tcPr>
                <w:p w14:paraId="4BC6EE40">
                  <w:pPr>
                    <w:pStyle w:val="98"/>
                    <w:rPr>
                      <w:rFonts w:cs="Times New Roman"/>
                      <w:color w:val="auto"/>
                      <w:sz w:val="18"/>
                      <w:szCs w:val="18"/>
                      <w:highlight w:val="none"/>
                    </w:rPr>
                  </w:pPr>
                  <w:r>
                    <w:rPr>
                      <w:rFonts w:cs="Times New Roman"/>
                      <w:color w:val="auto"/>
                      <w:sz w:val="18"/>
                      <w:szCs w:val="18"/>
                      <w:highlight w:val="none"/>
                    </w:rPr>
                    <w:t>大气环境</w:t>
                  </w:r>
                </w:p>
              </w:tc>
              <w:tc>
                <w:tcPr>
                  <w:tcW w:w="2647" w:type="dxa"/>
                  <w:gridSpan w:val="2"/>
                  <w:tcBorders>
                    <w:tl2br w:val="nil"/>
                    <w:tr2bl w:val="nil"/>
                  </w:tcBorders>
                  <w:vAlign w:val="center"/>
                </w:tcPr>
                <w:p w14:paraId="1384F866">
                  <w:pPr>
                    <w:pStyle w:val="98"/>
                    <w:rPr>
                      <w:rFonts w:cs="Times New Roman"/>
                      <w:color w:val="auto"/>
                      <w:sz w:val="18"/>
                      <w:szCs w:val="18"/>
                      <w:highlight w:val="none"/>
                    </w:rPr>
                  </w:pPr>
                  <w:r>
                    <w:rPr>
                      <w:rFonts w:cs="Times New Roman"/>
                      <w:color w:val="auto"/>
                      <w:sz w:val="18"/>
                      <w:szCs w:val="18"/>
                      <w:highlight w:val="none"/>
                    </w:rPr>
                    <w:t>区域大气环境</w:t>
                  </w:r>
                </w:p>
              </w:tc>
              <w:tc>
                <w:tcPr>
                  <w:tcW w:w="1514" w:type="dxa"/>
                  <w:vMerge w:val="continue"/>
                  <w:tcBorders>
                    <w:tl2br w:val="nil"/>
                    <w:tr2bl w:val="nil"/>
                  </w:tcBorders>
                  <w:vAlign w:val="center"/>
                </w:tcPr>
                <w:p w14:paraId="7DE4D181">
                  <w:pPr>
                    <w:pStyle w:val="98"/>
                    <w:rPr>
                      <w:rFonts w:cs="Times New Roman"/>
                      <w:color w:val="auto"/>
                      <w:sz w:val="18"/>
                      <w:szCs w:val="18"/>
                      <w:highlight w:val="none"/>
                    </w:rPr>
                  </w:pPr>
                </w:p>
              </w:tc>
              <w:tc>
                <w:tcPr>
                  <w:tcW w:w="2168" w:type="dxa"/>
                  <w:vMerge w:val="continue"/>
                  <w:tcBorders>
                    <w:tl2br w:val="nil"/>
                    <w:tr2bl w:val="nil"/>
                  </w:tcBorders>
                  <w:vAlign w:val="center"/>
                </w:tcPr>
                <w:p w14:paraId="52C64E90">
                  <w:pPr>
                    <w:pStyle w:val="98"/>
                    <w:rPr>
                      <w:rFonts w:cs="Times New Roman"/>
                      <w:color w:val="auto"/>
                      <w:sz w:val="18"/>
                      <w:szCs w:val="18"/>
                      <w:highlight w:val="none"/>
                    </w:rPr>
                  </w:pPr>
                </w:p>
              </w:tc>
            </w:tr>
            <w:tr w14:paraId="3BD71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vMerge w:val="restart"/>
                  <w:tcBorders>
                    <w:tl2br w:val="nil"/>
                    <w:tr2bl w:val="nil"/>
                  </w:tcBorders>
                  <w:vAlign w:val="center"/>
                </w:tcPr>
                <w:p w14:paraId="7C61942E">
                  <w:pPr>
                    <w:pStyle w:val="98"/>
                    <w:rPr>
                      <w:rFonts w:cs="Times New Roman"/>
                      <w:color w:val="auto"/>
                      <w:sz w:val="18"/>
                      <w:szCs w:val="18"/>
                      <w:highlight w:val="none"/>
                    </w:rPr>
                  </w:pPr>
                  <w:r>
                    <w:rPr>
                      <w:rFonts w:cs="Times New Roman"/>
                      <w:color w:val="auto"/>
                      <w:sz w:val="18"/>
                      <w:szCs w:val="18"/>
                      <w:highlight w:val="none"/>
                    </w:rPr>
                    <w:t>生态环境</w:t>
                  </w:r>
                </w:p>
              </w:tc>
              <w:tc>
                <w:tcPr>
                  <w:tcW w:w="1199" w:type="dxa"/>
                  <w:tcBorders>
                    <w:tl2br w:val="nil"/>
                    <w:tr2bl w:val="nil"/>
                  </w:tcBorders>
                  <w:vAlign w:val="center"/>
                </w:tcPr>
                <w:p w14:paraId="4C2DE2FB">
                  <w:pPr>
                    <w:pStyle w:val="98"/>
                    <w:rPr>
                      <w:rFonts w:cs="Times New Roman"/>
                      <w:color w:val="auto"/>
                      <w:sz w:val="18"/>
                      <w:szCs w:val="18"/>
                      <w:highlight w:val="none"/>
                    </w:rPr>
                  </w:pPr>
                  <w:r>
                    <w:rPr>
                      <w:rFonts w:cs="Times New Roman"/>
                      <w:color w:val="auto"/>
                      <w:sz w:val="18"/>
                      <w:szCs w:val="18"/>
                      <w:highlight w:val="none"/>
                    </w:rPr>
                    <w:t>陆生生态</w:t>
                  </w:r>
                </w:p>
              </w:tc>
              <w:tc>
                <w:tcPr>
                  <w:tcW w:w="1448" w:type="dxa"/>
                  <w:tcBorders>
                    <w:tl2br w:val="nil"/>
                    <w:tr2bl w:val="nil"/>
                  </w:tcBorders>
                  <w:vAlign w:val="center"/>
                </w:tcPr>
                <w:p w14:paraId="6809F091">
                  <w:pPr>
                    <w:pStyle w:val="98"/>
                    <w:rPr>
                      <w:rFonts w:cs="Times New Roman"/>
                      <w:color w:val="auto"/>
                      <w:sz w:val="18"/>
                      <w:szCs w:val="18"/>
                      <w:highlight w:val="none"/>
                    </w:rPr>
                  </w:pPr>
                  <w:r>
                    <w:rPr>
                      <w:rFonts w:cs="Times New Roman"/>
                      <w:color w:val="auto"/>
                      <w:sz w:val="18"/>
                      <w:szCs w:val="18"/>
                      <w:highlight w:val="none"/>
                    </w:rPr>
                    <w:t>陆生动植物及其生境</w:t>
                  </w:r>
                </w:p>
              </w:tc>
              <w:tc>
                <w:tcPr>
                  <w:tcW w:w="1514" w:type="dxa"/>
                  <w:tcBorders>
                    <w:tl2br w:val="nil"/>
                    <w:tr2bl w:val="nil"/>
                  </w:tcBorders>
                  <w:vAlign w:val="center"/>
                </w:tcPr>
                <w:p w14:paraId="3B226C2C">
                  <w:pPr>
                    <w:pStyle w:val="98"/>
                    <w:rPr>
                      <w:rFonts w:cs="Times New Roman"/>
                      <w:color w:val="auto"/>
                      <w:sz w:val="18"/>
                      <w:szCs w:val="18"/>
                      <w:highlight w:val="none"/>
                    </w:rPr>
                  </w:pPr>
                  <w:r>
                    <w:rPr>
                      <w:rFonts w:cs="Times New Roman"/>
                      <w:color w:val="auto"/>
                      <w:sz w:val="18"/>
                      <w:szCs w:val="18"/>
                      <w:highlight w:val="none"/>
                    </w:rPr>
                    <w:t>工程两侧1km范围内</w:t>
                  </w:r>
                </w:p>
              </w:tc>
              <w:tc>
                <w:tcPr>
                  <w:tcW w:w="2168" w:type="dxa"/>
                  <w:tcBorders>
                    <w:tl2br w:val="nil"/>
                    <w:tr2bl w:val="nil"/>
                  </w:tcBorders>
                  <w:vAlign w:val="center"/>
                </w:tcPr>
                <w:p w14:paraId="5C65CF7C">
                  <w:pPr>
                    <w:pStyle w:val="98"/>
                    <w:rPr>
                      <w:rFonts w:cs="Times New Roman"/>
                      <w:color w:val="auto"/>
                      <w:sz w:val="18"/>
                      <w:szCs w:val="18"/>
                      <w:highlight w:val="none"/>
                    </w:rPr>
                  </w:pPr>
                  <w:r>
                    <w:rPr>
                      <w:rFonts w:cs="Times New Roman"/>
                      <w:color w:val="auto"/>
                      <w:sz w:val="18"/>
                      <w:szCs w:val="18"/>
                      <w:highlight w:val="none"/>
                    </w:rPr>
                    <w:t>保护区域陆生生态系统完整性及陆生珍稀濒危动植物</w:t>
                  </w:r>
                </w:p>
              </w:tc>
            </w:tr>
            <w:tr w14:paraId="2179E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vMerge w:val="continue"/>
                  <w:tcBorders>
                    <w:tl2br w:val="nil"/>
                    <w:tr2bl w:val="nil"/>
                  </w:tcBorders>
                  <w:vAlign w:val="center"/>
                </w:tcPr>
                <w:p w14:paraId="4332F380">
                  <w:pPr>
                    <w:pStyle w:val="98"/>
                    <w:rPr>
                      <w:rFonts w:cs="Times New Roman"/>
                      <w:color w:val="auto"/>
                      <w:sz w:val="18"/>
                      <w:szCs w:val="18"/>
                      <w:highlight w:val="none"/>
                    </w:rPr>
                  </w:pPr>
                </w:p>
              </w:tc>
              <w:tc>
                <w:tcPr>
                  <w:tcW w:w="1199" w:type="dxa"/>
                  <w:tcBorders>
                    <w:tl2br w:val="nil"/>
                    <w:tr2bl w:val="nil"/>
                  </w:tcBorders>
                  <w:vAlign w:val="center"/>
                </w:tcPr>
                <w:p w14:paraId="2FA643A7">
                  <w:pPr>
                    <w:pStyle w:val="98"/>
                    <w:rPr>
                      <w:rFonts w:cs="Times New Roman"/>
                      <w:color w:val="auto"/>
                      <w:sz w:val="18"/>
                      <w:szCs w:val="18"/>
                      <w:highlight w:val="none"/>
                    </w:rPr>
                  </w:pPr>
                  <w:r>
                    <w:rPr>
                      <w:rFonts w:cs="Times New Roman"/>
                      <w:color w:val="auto"/>
                      <w:sz w:val="18"/>
                      <w:szCs w:val="18"/>
                      <w:highlight w:val="none"/>
                    </w:rPr>
                    <w:t>水生生态</w:t>
                  </w:r>
                </w:p>
              </w:tc>
              <w:tc>
                <w:tcPr>
                  <w:tcW w:w="1448" w:type="dxa"/>
                  <w:tcBorders>
                    <w:tl2br w:val="nil"/>
                    <w:tr2bl w:val="nil"/>
                  </w:tcBorders>
                  <w:vAlign w:val="center"/>
                </w:tcPr>
                <w:p w14:paraId="15CDDB10">
                  <w:pPr>
                    <w:pStyle w:val="98"/>
                    <w:rPr>
                      <w:rFonts w:cs="Times New Roman"/>
                      <w:color w:val="auto"/>
                      <w:sz w:val="18"/>
                      <w:szCs w:val="18"/>
                      <w:highlight w:val="none"/>
                    </w:rPr>
                  </w:pPr>
                  <w:r>
                    <w:rPr>
                      <w:rFonts w:cs="Times New Roman"/>
                      <w:color w:val="auto"/>
                      <w:sz w:val="18"/>
                      <w:szCs w:val="18"/>
                      <w:highlight w:val="none"/>
                    </w:rPr>
                    <w:t>鲢、草等鱼类及其生境</w:t>
                  </w:r>
                </w:p>
              </w:tc>
              <w:tc>
                <w:tcPr>
                  <w:tcW w:w="1514" w:type="dxa"/>
                  <w:tcBorders>
                    <w:tl2br w:val="nil"/>
                    <w:tr2bl w:val="nil"/>
                  </w:tcBorders>
                  <w:vAlign w:val="center"/>
                </w:tcPr>
                <w:p w14:paraId="6AC8F585">
                  <w:pPr>
                    <w:pStyle w:val="98"/>
                    <w:rPr>
                      <w:rFonts w:cs="Times New Roman"/>
                      <w:color w:val="auto"/>
                      <w:sz w:val="18"/>
                      <w:szCs w:val="18"/>
                      <w:highlight w:val="none"/>
                    </w:rPr>
                  </w:pPr>
                  <w:r>
                    <w:rPr>
                      <w:rFonts w:cs="Times New Roman"/>
                      <w:color w:val="auto"/>
                      <w:sz w:val="18"/>
                      <w:szCs w:val="18"/>
                      <w:highlight w:val="none"/>
                    </w:rPr>
                    <w:t>大带河内鱼类资源等</w:t>
                  </w:r>
                </w:p>
              </w:tc>
              <w:tc>
                <w:tcPr>
                  <w:tcW w:w="2168" w:type="dxa"/>
                  <w:tcBorders>
                    <w:tl2br w:val="nil"/>
                    <w:tr2bl w:val="nil"/>
                  </w:tcBorders>
                  <w:vAlign w:val="center"/>
                </w:tcPr>
                <w:p w14:paraId="5A112608">
                  <w:pPr>
                    <w:pStyle w:val="98"/>
                    <w:rPr>
                      <w:rFonts w:cs="Times New Roman"/>
                      <w:color w:val="auto"/>
                      <w:sz w:val="18"/>
                      <w:szCs w:val="18"/>
                      <w:highlight w:val="none"/>
                    </w:rPr>
                  </w:pPr>
                  <w:r>
                    <w:rPr>
                      <w:rFonts w:cs="Times New Roman"/>
                      <w:color w:val="auto"/>
                      <w:sz w:val="18"/>
                      <w:szCs w:val="18"/>
                      <w:highlight w:val="none"/>
                    </w:rPr>
                    <w:t>维持水生生态系统完整性及多样性</w:t>
                  </w:r>
                </w:p>
              </w:tc>
            </w:tr>
            <w:tr w14:paraId="6E38C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vMerge w:val="continue"/>
                  <w:tcBorders>
                    <w:tl2br w:val="nil"/>
                    <w:tr2bl w:val="nil"/>
                  </w:tcBorders>
                  <w:vAlign w:val="center"/>
                </w:tcPr>
                <w:p w14:paraId="59A90ABC">
                  <w:pPr>
                    <w:pStyle w:val="98"/>
                    <w:rPr>
                      <w:rFonts w:cs="Times New Roman"/>
                      <w:color w:val="auto"/>
                      <w:sz w:val="18"/>
                      <w:szCs w:val="18"/>
                      <w:highlight w:val="none"/>
                    </w:rPr>
                  </w:pPr>
                </w:p>
              </w:tc>
              <w:tc>
                <w:tcPr>
                  <w:tcW w:w="1199" w:type="dxa"/>
                  <w:tcBorders>
                    <w:tl2br w:val="nil"/>
                    <w:tr2bl w:val="nil"/>
                  </w:tcBorders>
                  <w:vAlign w:val="center"/>
                </w:tcPr>
                <w:p w14:paraId="3B73B519">
                  <w:pPr>
                    <w:pStyle w:val="98"/>
                    <w:rPr>
                      <w:rFonts w:cs="Times New Roman"/>
                      <w:color w:val="auto"/>
                      <w:sz w:val="18"/>
                      <w:szCs w:val="18"/>
                      <w:highlight w:val="none"/>
                    </w:rPr>
                  </w:pPr>
                  <w:r>
                    <w:rPr>
                      <w:rFonts w:cs="Times New Roman"/>
                      <w:color w:val="auto"/>
                      <w:sz w:val="18"/>
                      <w:szCs w:val="18"/>
                      <w:highlight w:val="none"/>
                    </w:rPr>
                    <w:t>黑龙江饶河东北黑蜂国家级自然保护区</w:t>
                  </w:r>
                </w:p>
              </w:tc>
              <w:tc>
                <w:tcPr>
                  <w:tcW w:w="1448" w:type="dxa"/>
                  <w:tcBorders>
                    <w:tl2br w:val="nil"/>
                    <w:tr2bl w:val="nil"/>
                  </w:tcBorders>
                  <w:vAlign w:val="center"/>
                </w:tcPr>
                <w:p w14:paraId="5B33F7EC">
                  <w:pPr>
                    <w:pStyle w:val="98"/>
                    <w:rPr>
                      <w:rFonts w:cs="Times New Roman"/>
                      <w:color w:val="auto"/>
                      <w:sz w:val="18"/>
                      <w:szCs w:val="18"/>
                      <w:highlight w:val="none"/>
                    </w:rPr>
                  </w:pPr>
                  <w:r>
                    <w:rPr>
                      <w:rFonts w:cs="Times New Roman"/>
                      <w:color w:val="auto"/>
                      <w:sz w:val="18"/>
                      <w:szCs w:val="18"/>
                      <w:highlight w:val="none"/>
                    </w:rPr>
                    <w:t>东北黑蜂蜂种及蜜源植物</w:t>
                  </w:r>
                </w:p>
              </w:tc>
              <w:tc>
                <w:tcPr>
                  <w:tcW w:w="1514" w:type="dxa"/>
                  <w:tcBorders>
                    <w:tl2br w:val="nil"/>
                    <w:tr2bl w:val="nil"/>
                  </w:tcBorders>
                  <w:vAlign w:val="center"/>
                </w:tcPr>
                <w:p w14:paraId="0772978C">
                  <w:pPr>
                    <w:pStyle w:val="98"/>
                    <w:rPr>
                      <w:rFonts w:cs="Times New Roman"/>
                      <w:color w:val="auto"/>
                      <w:sz w:val="18"/>
                      <w:szCs w:val="18"/>
                      <w:highlight w:val="none"/>
                    </w:rPr>
                  </w:pPr>
                  <w:r>
                    <w:rPr>
                      <w:rFonts w:cs="Times New Roman"/>
                      <w:color w:val="auto"/>
                      <w:sz w:val="18"/>
                      <w:szCs w:val="18"/>
                      <w:highlight w:val="none"/>
                    </w:rPr>
                    <w:t>工程全部位于自然保护区实验区</w:t>
                  </w:r>
                </w:p>
              </w:tc>
              <w:tc>
                <w:tcPr>
                  <w:tcW w:w="2168" w:type="dxa"/>
                  <w:tcBorders>
                    <w:tl2br w:val="nil"/>
                    <w:tr2bl w:val="nil"/>
                  </w:tcBorders>
                  <w:vAlign w:val="center"/>
                </w:tcPr>
                <w:p w14:paraId="0AACC69C">
                  <w:pPr>
                    <w:pStyle w:val="98"/>
                    <w:rPr>
                      <w:rFonts w:cs="Times New Roman"/>
                      <w:color w:val="auto"/>
                      <w:sz w:val="18"/>
                      <w:szCs w:val="18"/>
                      <w:highlight w:val="none"/>
                    </w:rPr>
                  </w:pPr>
                  <w:r>
                    <w:rPr>
                      <w:rFonts w:cs="Times New Roman"/>
                      <w:color w:val="auto"/>
                      <w:sz w:val="18"/>
                      <w:szCs w:val="18"/>
                      <w:highlight w:val="none"/>
                    </w:rPr>
                    <w:t>维持保护区</w:t>
                  </w:r>
                </w:p>
                <w:p w14:paraId="550F7F9D">
                  <w:pPr>
                    <w:pStyle w:val="98"/>
                    <w:rPr>
                      <w:rFonts w:cs="Times New Roman"/>
                      <w:color w:val="auto"/>
                      <w:sz w:val="18"/>
                      <w:szCs w:val="18"/>
                      <w:highlight w:val="none"/>
                    </w:rPr>
                  </w:pPr>
                  <w:r>
                    <w:rPr>
                      <w:rFonts w:cs="Times New Roman"/>
                      <w:color w:val="auto"/>
                      <w:sz w:val="18"/>
                      <w:szCs w:val="18"/>
                      <w:highlight w:val="none"/>
                    </w:rPr>
                    <w:t>生态系统的完整性</w:t>
                  </w:r>
                </w:p>
              </w:tc>
            </w:tr>
            <w:tr w14:paraId="6A76F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vMerge w:val="continue"/>
                  <w:tcBorders>
                    <w:tl2br w:val="nil"/>
                    <w:tr2bl w:val="nil"/>
                  </w:tcBorders>
                  <w:vAlign w:val="center"/>
                </w:tcPr>
                <w:p w14:paraId="524B2A46">
                  <w:pPr>
                    <w:pStyle w:val="98"/>
                    <w:rPr>
                      <w:rFonts w:cs="Times New Roman"/>
                      <w:color w:val="auto"/>
                      <w:sz w:val="18"/>
                      <w:szCs w:val="18"/>
                      <w:highlight w:val="none"/>
                    </w:rPr>
                  </w:pPr>
                </w:p>
              </w:tc>
              <w:tc>
                <w:tcPr>
                  <w:tcW w:w="1199" w:type="dxa"/>
                  <w:tcBorders>
                    <w:tl2br w:val="nil"/>
                    <w:tr2bl w:val="nil"/>
                  </w:tcBorders>
                  <w:vAlign w:val="center"/>
                </w:tcPr>
                <w:p w14:paraId="01C3DEF8">
                  <w:pPr>
                    <w:pStyle w:val="98"/>
                    <w:rPr>
                      <w:rFonts w:cs="Times New Roman"/>
                      <w:color w:val="auto"/>
                      <w:sz w:val="18"/>
                      <w:szCs w:val="18"/>
                      <w:highlight w:val="none"/>
                    </w:rPr>
                  </w:pPr>
                  <w:r>
                    <w:rPr>
                      <w:rFonts w:cs="Times New Roman"/>
                      <w:color w:val="auto"/>
                      <w:sz w:val="18"/>
                      <w:szCs w:val="18"/>
                      <w:highlight w:val="none"/>
                    </w:rPr>
                    <w:t>黑龙江饶河乌苏里江国家湿地公园</w:t>
                  </w:r>
                </w:p>
              </w:tc>
              <w:tc>
                <w:tcPr>
                  <w:tcW w:w="1448" w:type="dxa"/>
                  <w:tcBorders>
                    <w:tl2br w:val="nil"/>
                    <w:tr2bl w:val="nil"/>
                  </w:tcBorders>
                  <w:vAlign w:val="center"/>
                </w:tcPr>
                <w:p w14:paraId="584ADB4A">
                  <w:pPr>
                    <w:pStyle w:val="98"/>
                    <w:rPr>
                      <w:rFonts w:cs="Times New Roman"/>
                      <w:color w:val="auto"/>
                      <w:sz w:val="18"/>
                      <w:szCs w:val="18"/>
                      <w:highlight w:val="none"/>
                    </w:rPr>
                  </w:pPr>
                  <w:r>
                    <w:rPr>
                      <w:rFonts w:cs="Times New Roman"/>
                      <w:color w:val="auto"/>
                      <w:sz w:val="18"/>
                      <w:szCs w:val="18"/>
                      <w:highlight w:val="none"/>
                    </w:rPr>
                    <w:t>湿地及其野生动植物种群</w:t>
                  </w:r>
                </w:p>
              </w:tc>
              <w:tc>
                <w:tcPr>
                  <w:tcW w:w="1514" w:type="dxa"/>
                  <w:tcBorders>
                    <w:tl2br w:val="nil"/>
                    <w:tr2bl w:val="nil"/>
                  </w:tcBorders>
                  <w:vAlign w:val="center"/>
                </w:tcPr>
                <w:p w14:paraId="75B7BB9D">
                  <w:pPr>
                    <w:pStyle w:val="98"/>
                    <w:rPr>
                      <w:rFonts w:cs="Times New Roman"/>
                      <w:color w:val="auto"/>
                      <w:sz w:val="18"/>
                      <w:szCs w:val="18"/>
                      <w:highlight w:val="none"/>
                    </w:rPr>
                  </w:pPr>
                  <w:r>
                    <w:rPr>
                      <w:rFonts w:cs="Times New Roman"/>
                      <w:color w:val="auto"/>
                      <w:sz w:val="18"/>
                      <w:szCs w:val="18"/>
                      <w:highlight w:val="none"/>
                    </w:rPr>
                    <w:t>工程1700m位于湿地公园生态保育区内</w:t>
                  </w:r>
                </w:p>
              </w:tc>
              <w:tc>
                <w:tcPr>
                  <w:tcW w:w="2168" w:type="dxa"/>
                  <w:tcBorders>
                    <w:tl2br w:val="nil"/>
                    <w:tr2bl w:val="nil"/>
                  </w:tcBorders>
                  <w:vAlign w:val="center"/>
                </w:tcPr>
                <w:p w14:paraId="31B383B5">
                  <w:pPr>
                    <w:pStyle w:val="98"/>
                    <w:rPr>
                      <w:rFonts w:cs="Times New Roman"/>
                      <w:color w:val="auto"/>
                      <w:sz w:val="18"/>
                      <w:szCs w:val="18"/>
                      <w:highlight w:val="none"/>
                    </w:rPr>
                  </w:pPr>
                  <w:r>
                    <w:rPr>
                      <w:rFonts w:cs="Times New Roman"/>
                      <w:color w:val="auto"/>
                      <w:sz w:val="18"/>
                      <w:szCs w:val="18"/>
                      <w:highlight w:val="none"/>
                    </w:rPr>
                    <w:t>维持公园内景观及湿地生物多样性</w:t>
                  </w:r>
                </w:p>
              </w:tc>
            </w:tr>
            <w:tr w14:paraId="1B607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61" w:type="dxa"/>
                  <w:vMerge w:val="continue"/>
                  <w:tcBorders>
                    <w:tl2br w:val="nil"/>
                    <w:tr2bl w:val="nil"/>
                  </w:tcBorders>
                  <w:vAlign w:val="center"/>
                </w:tcPr>
                <w:p w14:paraId="47488F55">
                  <w:pPr>
                    <w:pStyle w:val="98"/>
                    <w:rPr>
                      <w:rFonts w:cs="Times New Roman"/>
                      <w:color w:val="auto"/>
                      <w:sz w:val="18"/>
                      <w:szCs w:val="18"/>
                      <w:highlight w:val="none"/>
                    </w:rPr>
                  </w:pPr>
                </w:p>
              </w:tc>
              <w:tc>
                <w:tcPr>
                  <w:tcW w:w="1199" w:type="dxa"/>
                  <w:tcBorders>
                    <w:tl2br w:val="nil"/>
                    <w:tr2bl w:val="nil"/>
                  </w:tcBorders>
                  <w:vAlign w:val="center"/>
                </w:tcPr>
                <w:p w14:paraId="36326A0B">
                  <w:pPr>
                    <w:pStyle w:val="98"/>
                    <w:rPr>
                      <w:rFonts w:cs="Times New Roman"/>
                      <w:color w:val="auto"/>
                      <w:sz w:val="18"/>
                      <w:szCs w:val="18"/>
                      <w:highlight w:val="none"/>
                    </w:rPr>
                  </w:pPr>
                  <w:r>
                    <w:rPr>
                      <w:rFonts w:cs="Times New Roman"/>
                      <w:color w:val="auto"/>
                      <w:sz w:val="18"/>
                      <w:szCs w:val="18"/>
                      <w:highlight w:val="none"/>
                    </w:rPr>
                    <w:t>三江平原生物多样性维护功能生态保护红线</w:t>
                  </w:r>
                </w:p>
              </w:tc>
              <w:tc>
                <w:tcPr>
                  <w:tcW w:w="1448" w:type="dxa"/>
                  <w:tcBorders>
                    <w:tl2br w:val="nil"/>
                    <w:tr2bl w:val="nil"/>
                  </w:tcBorders>
                  <w:vAlign w:val="center"/>
                </w:tcPr>
                <w:p w14:paraId="6ADE4FEF">
                  <w:pPr>
                    <w:pStyle w:val="98"/>
                    <w:rPr>
                      <w:rFonts w:cs="Times New Roman"/>
                      <w:color w:val="auto"/>
                      <w:sz w:val="18"/>
                      <w:szCs w:val="18"/>
                      <w:highlight w:val="none"/>
                    </w:rPr>
                  </w:pPr>
                  <w:r>
                    <w:rPr>
                      <w:rFonts w:cs="Times New Roman"/>
                      <w:color w:val="auto"/>
                      <w:sz w:val="18"/>
                      <w:szCs w:val="18"/>
                      <w:highlight w:val="none"/>
                    </w:rPr>
                    <w:t>水源涵养功能</w:t>
                  </w:r>
                </w:p>
              </w:tc>
              <w:tc>
                <w:tcPr>
                  <w:tcW w:w="1514" w:type="dxa"/>
                  <w:tcBorders>
                    <w:tl2br w:val="nil"/>
                    <w:tr2bl w:val="nil"/>
                  </w:tcBorders>
                  <w:vAlign w:val="center"/>
                </w:tcPr>
                <w:p w14:paraId="0F67273E">
                  <w:pPr>
                    <w:pStyle w:val="98"/>
                    <w:rPr>
                      <w:rFonts w:cs="Times New Roman"/>
                      <w:color w:val="auto"/>
                      <w:sz w:val="18"/>
                      <w:szCs w:val="18"/>
                      <w:highlight w:val="none"/>
                    </w:rPr>
                  </w:pPr>
                  <w:r>
                    <w:rPr>
                      <w:rFonts w:cs="Times New Roman"/>
                      <w:color w:val="auto"/>
                      <w:sz w:val="18"/>
                      <w:szCs w:val="18"/>
                      <w:highlight w:val="none"/>
                    </w:rPr>
                    <w:t>工程1200m位于红线内</w:t>
                  </w:r>
                </w:p>
              </w:tc>
              <w:tc>
                <w:tcPr>
                  <w:tcW w:w="2168" w:type="dxa"/>
                  <w:tcBorders>
                    <w:tl2br w:val="nil"/>
                    <w:tr2bl w:val="nil"/>
                  </w:tcBorders>
                  <w:vAlign w:val="center"/>
                </w:tcPr>
                <w:p w14:paraId="23262D07">
                  <w:pPr>
                    <w:pStyle w:val="98"/>
                    <w:rPr>
                      <w:rFonts w:cs="Times New Roman"/>
                      <w:color w:val="auto"/>
                      <w:sz w:val="18"/>
                      <w:szCs w:val="18"/>
                      <w:highlight w:val="none"/>
                    </w:rPr>
                  </w:pPr>
                  <w:r>
                    <w:rPr>
                      <w:rFonts w:cs="Times New Roman"/>
                      <w:color w:val="auto"/>
                      <w:sz w:val="18"/>
                      <w:szCs w:val="18"/>
                      <w:highlight w:val="none"/>
                    </w:rPr>
                    <w:t>维持红线水源涵养功能</w:t>
                  </w:r>
                </w:p>
              </w:tc>
            </w:tr>
          </w:tbl>
          <w:p w14:paraId="26A2A396">
            <w:pPr>
              <w:pStyle w:val="5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kern w:val="0"/>
                <w:szCs w:val="21"/>
                <w:highlight w:val="none"/>
              </w:rPr>
            </w:pPr>
            <w:r>
              <w:rPr>
                <w:rFonts w:hint="eastAsia"/>
                <w:color w:val="auto"/>
                <w:kern w:val="0"/>
                <w:szCs w:val="21"/>
                <w:highlight w:val="none"/>
                <w:lang w:val="en-US" w:eastAsia="zh-CN"/>
              </w:rPr>
              <w:t>注：本项目不位于黑龙江大佳河省级自然保护区（见附图9），距离黑龙江大佳河省级自然保护区实验区约271m，本项目位于乌苏里江国家湿地公园保育区（见附图8），由于乌苏里江国家湿地公园服务中心整合并入大佳河省级自然保护区管理局（见附件5），因此乌苏里江国家湿地公园文件由大佳河省级自然保护区管理局出具（见附件4）。</w:t>
            </w:r>
          </w:p>
        </w:tc>
      </w:tr>
      <w:tr w14:paraId="4D7D35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93" w:type="pct"/>
            <w:vAlign w:val="center"/>
          </w:tcPr>
          <w:p w14:paraId="0561C940">
            <w:pPr>
              <w:adjustRightInd w:val="0"/>
              <w:snapToGrid w:val="0"/>
              <w:jc w:val="center"/>
              <w:rPr>
                <w:color w:val="auto"/>
                <w:kern w:val="0"/>
                <w:szCs w:val="21"/>
                <w:highlight w:val="none"/>
              </w:rPr>
            </w:pPr>
            <w:r>
              <w:rPr>
                <w:color w:val="auto"/>
                <w:kern w:val="0"/>
                <w:szCs w:val="21"/>
                <w:highlight w:val="none"/>
              </w:rPr>
              <w:t>评价</w:t>
            </w:r>
          </w:p>
          <w:p w14:paraId="13724C0F">
            <w:pPr>
              <w:adjustRightInd w:val="0"/>
              <w:snapToGrid w:val="0"/>
              <w:jc w:val="center"/>
              <w:rPr>
                <w:color w:val="FF0000"/>
                <w:kern w:val="0"/>
                <w:szCs w:val="21"/>
                <w:highlight w:val="none"/>
              </w:rPr>
            </w:pPr>
            <w:r>
              <w:rPr>
                <w:color w:val="auto"/>
                <w:kern w:val="0"/>
                <w:szCs w:val="21"/>
                <w:highlight w:val="none"/>
              </w:rPr>
              <w:t>标准</w:t>
            </w:r>
          </w:p>
        </w:tc>
        <w:tc>
          <w:tcPr>
            <w:tcW w:w="4407" w:type="pct"/>
            <w:vAlign w:val="center"/>
          </w:tcPr>
          <w:p w14:paraId="22DC8A95">
            <w:pPr>
              <w:pStyle w:val="56"/>
              <w:ind w:firstLine="420"/>
              <w:rPr>
                <w:color w:val="auto"/>
                <w:highlight w:val="none"/>
              </w:rPr>
            </w:pPr>
            <w:r>
              <w:rPr>
                <w:rFonts w:hint="eastAsia"/>
                <w:color w:val="auto"/>
                <w:highlight w:val="none"/>
              </w:rPr>
              <w:t>一、环境质量标准</w:t>
            </w:r>
          </w:p>
          <w:p w14:paraId="01BD3346">
            <w:pPr>
              <w:pStyle w:val="56"/>
              <w:ind w:firstLine="420"/>
              <w:rPr>
                <w:color w:val="auto"/>
                <w:highlight w:val="none"/>
              </w:rPr>
            </w:pPr>
            <w:r>
              <w:rPr>
                <w:color w:val="auto"/>
                <w:highlight w:val="none"/>
              </w:rPr>
              <w:t>1、大气环境</w:t>
            </w:r>
          </w:p>
          <w:p w14:paraId="7CD2C918">
            <w:pPr>
              <w:pStyle w:val="56"/>
              <w:ind w:firstLine="420"/>
              <w:rPr>
                <w:color w:val="auto"/>
                <w:highlight w:val="none"/>
              </w:rPr>
            </w:pPr>
            <w:r>
              <w:rPr>
                <w:color w:val="auto"/>
                <w:highlight w:val="none"/>
              </w:rPr>
              <w:t>拟建项目周围环境空气执行《环境空气质量标准》（GB3095-2012）及修改单中的</w:t>
            </w:r>
            <w:r>
              <w:rPr>
                <w:rFonts w:hint="eastAsia"/>
                <w:color w:val="auto"/>
                <w:highlight w:val="none"/>
                <w:lang w:val="en-US" w:eastAsia="zh-CN"/>
              </w:rPr>
              <w:t>一级</w:t>
            </w:r>
            <w:r>
              <w:rPr>
                <w:color w:val="auto"/>
                <w:highlight w:val="none"/>
              </w:rPr>
              <w:t>标准浓度限值。</w:t>
            </w:r>
          </w:p>
          <w:p w14:paraId="7E320278">
            <w:pPr>
              <w:pStyle w:val="55"/>
              <w:rPr>
                <w:color w:val="auto"/>
                <w:highlight w:val="none"/>
              </w:rPr>
            </w:pPr>
            <w:r>
              <w:rPr>
                <w:color w:val="auto"/>
                <w:highlight w:val="none"/>
              </w:rPr>
              <w:t>表3-</w:t>
            </w:r>
            <w:r>
              <w:rPr>
                <w:rFonts w:hint="eastAsia"/>
                <w:color w:val="auto"/>
                <w:highlight w:val="none"/>
                <w:lang w:val="en-US" w:eastAsia="zh-CN"/>
              </w:rPr>
              <w:t>9</w:t>
            </w:r>
            <w:r>
              <w:rPr>
                <w:color w:val="auto"/>
                <w:highlight w:val="none"/>
              </w:rPr>
              <w:t xml:space="preserve"> 环境空气质量标准</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29"/>
              <w:gridCol w:w="1000"/>
              <w:gridCol w:w="1359"/>
              <w:gridCol w:w="1151"/>
              <w:gridCol w:w="1094"/>
              <w:gridCol w:w="1094"/>
              <w:gridCol w:w="965"/>
            </w:tblGrid>
            <w:tr w14:paraId="58DCA97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vMerge w:val="restart"/>
                  <w:tcBorders>
                    <w:tl2br w:val="nil"/>
                    <w:tr2bl w:val="nil"/>
                  </w:tcBorders>
                  <w:noWrap w:val="0"/>
                  <w:vAlign w:val="center"/>
                </w:tcPr>
                <w:p w14:paraId="696E12D8">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lang w:val="zh-CN"/>
                    </w:rPr>
                    <w:t>序号</w:t>
                  </w:r>
                </w:p>
              </w:tc>
              <w:tc>
                <w:tcPr>
                  <w:tcW w:w="685" w:type="pct"/>
                  <w:vMerge w:val="restart"/>
                  <w:tcBorders>
                    <w:tl2br w:val="nil"/>
                    <w:tr2bl w:val="nil"/>
                  </w:tcBorders>
                  <w:noWrap w:val="0"/>
                  <w:vAlign w:val="center"/>
                </w:tcPr>
                <w:p w14:paraId="280548A2">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lang w:val="zh-CN"/>
                    </w:rPr>
                    <w:t>污染物</w:t>
                  </w:r>
                </w:p>
              </w:tc>
              <w:tc>
                <w:tcPr>
                  <w:tcW w:w="931" w:type="pct"/>
                  <w:vMerge w:val="restart"/>
                  <w:tcBorders>
                    <w:tl2br w:val="nil"/>
                    <w:tr2bl w:val="nil"/>
                  </w:tcBorders>
                  <w:noWrap w:val="0"/>
                  <w:vAlign w:val="center"/>
                </w:tcPr>
                <w:p w14:paraId="1B21C20F">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单位</w:t>
                  </w:r>
                </w:p>
              </w:tc>
              <w:tc>
                <w:tcPr>
                  <w:tcW w:w="2950" w:type="pct"/>
                  <w:gridSpan w:val="4"/>
                  <w:tcBorders>
                    <w:tl2br w:val="nil"/>
                    <w:tr2bl w:val="nil"/>
                  </w:tcBorders>
                  <w:noWrap w:val="0"/>
                  <w:vAlign w:val="center"/>
                </w:tcPr>
                <w:p w14:paraId="4AA40F2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一级标准</w:t>
                  </w:r>
                </w:p>
              </w:tc>
            </w:tr>
            <w:tr w14:paraId="3F04BC9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vMerge w:val="continue"/>
                  <w:tcBorders>
                    <w:tl2br w:val="nil"/>
                    <w:tr2bl w:val="nil"/>
                  </w:tcBorders>
                  <w:noWrap w:val="0"/>
                  <w:vAlign w:val="center"/>
                </w:tcPr>
                <w:p w14:paraId="4219B0E8">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p>
              </w:tc>
              <w:tc>
                <w:tcPr>
                  <w:tcW w:w="685" w:type="pct"/>
                  <w:vMerge w:val="continue"/>
                  <w:tcBorders>
                    <w:tl2br w:val="nil"/>
                    <w:tr2bl w:val="nil"/>
                  </w:tcBorders>
                  <w:noWrap w:val="0"/>
                  <w:vAlign w:val="center"/>
                </w:tcPr>
                <w:p w14:paraId="2FE3B4F2">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p>
              </w:tc>
              <w:tc>
                <w:tcPr>
                  <w:tcW w:w="931" w:type="pct"/>
                  <w:vMerge w:val="continue"/>
                  <w:tcBorders>
                    <w:tl2br w:val="nil"/>
                    <w:tr2bl w:val="nil"/>
                  </w:tcBorders>
                  <w:noWrap w:val="0"/>
                  <w:vAlign w:val="center"/>
                </w:tcPr>
                <w:p w14:paraId="1E20D4C7">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p>
              </w:tc>
              <w:tc>
                <w:tcPr>
                  <w:tcW w:w="789" w:type="pct"/>
                  <w:tcBorders>
                    <w:tl2br w:val="nil"/>
                    <w:tr2bl w:val="nil"/>
                  </w:tcBorders>
                  <w:noWrap w:val="0"/>
                  <w:vAlign w:val="center"/>
                </w:tcPr>
                <w:p w14:paraId="21E99CEA">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kern w:val="2"/>
                      <w:sz w:val="18"/>
                      <w:szCs w:val="18"/>
                      <w:highlight w:val="none"/>
                      <w:lang w:val="en-US" w:eastAsia="zh-CN" w:bidi="ar-SA"/>
                    </w:rPr>
                  </w:pPr>
                  <w:r>
                    <w:rPr>
                      <w:color w:val="auto"/>
                      <w:sz w:val="18"/>
                      <w:szCs w:val="18"/>
                      <w:highlight w:val="none"/>
                    </w:rPr>
                    <w:t>1</w:t>
                  </w:r>
                  <w:r>
                    <w:rPr>
                      <w:color w:val="auto"/>
                      <w:sz w:val="18"/>
                      <w:szCs w:val="18"/>
                      <w:highlight w:val="none"/>
                      <w:lang w:val="zh-CN"/>
                    </w:rPr>
                    <w:t>小时平均</w:t>
                  </w:r>
                </w:p>
              </w:tc>
              <w:tc>
                <w:tcPr>
                  <w:tcW w:w="750" w:type="pct"/>
                  <w:tcBorders>
                    <w:tl2br w:val="nil"/>
                    <w:tr2bl w:val="nil"/>
                  </w:tcBorders>
                  <w:noWrap w:val="0"/>
                  <w:vAlign w:val="center"/>
                </w:tcPr>
                <w:p w14:paraId="2914D2FB">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kern w:val="2"/>
                      <w:sz w:val="18"/>
                      <w:szCs w:val="18"/>
                      <w:highlight w:val="none"/>
                      <w:lang w:val="en-US" w:eastAsia="zh-CN" w:bidi="ar-SA"/>
                    </w:rPr>
                  </w:pPr>
                  <w:r>
                    <w:rPr>
                      <w:color w:val="auto"/>
                      <w:sz w:val="18"/>
                      <w:szCs w:val="18"/>
                      <w:highlight w:val="none"/>
                    </w:rPr>
                    <w:t>24</w:t>
                  </w:r>
                  <w:r>
                    <w:rPr>
                      <w:color w:val="auto"/>
                      <w:sz w:val="18"/>
                      <w:szCs w:val="18"/>
                      <w:highlight w:val="none"/>
                      <w:lang w:val="zh-CN"/>
                    </w:rPr>
                    <w:t>小时平均</w:t>
                  </w:r>
                </w:p>
              </w:tc>
              <w:tc>
                <w:tcPr>
                  <w:tcW w:w="750" w:type="pct"/>
                  <w:tcBorders>
                    <w:tl2br w:val="nil"/>
                    <w:tr2bl w:val="nil"/>
                  </w:tcBorders>
                  <w:noWrap w:val="0"/>
                  <w:vAlign w:val="center"/>
                </w:tcPr>
                <w:p w14:paraId="652D2210">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kern w:val="2"/>
                      <w:sz w:val="18"/>
                      <w:szCs w:val="18"/>
                      <w:highlight w:val="none"/>
                      <w:lang w:val="en-US" w:eastAsia="zh-CN" w:bidi="ar-SA"/>
                    </w:rPr>
                  </w:pPr>
                  <w:r>
                    <w:rPr>
                      <w:rFonts w:hint="eastAsia"/>
                      <w:color w:val="auto"/>
                      <w:sz w:val="18"/>
                      <w:szCs w:val="18"/>
                      <w:highlight w:val="none"/>
                    </w:rPr>
                    <w:t>日最大8小时平均</w:t>
                  </w:r>
                </w:p>
              </w:tc>
              <w:tc>
                <w:tcPr>
                  <w:tcW w:w="661" w:type="pct"/>
                  <w:tcBorders>
                    <w:tl2br w:val="nil"/>
                    <w:tr2bl w:val="nil"/>
                  </w:tcBorders>
                  <w:noWrap w:val="0"/>
                  <w:vAlign w:val="center"/>
                </w:tcPr>
                <w:p w14:paraId="43A867FE">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kern w:val="2"/>
                      <w:sz w:val="18"/>
                      <w:szCs w:val="18"/>
                      <w:highlight w:val="none"/>
                      <w:lang w:val="en-US" w:eastAsia="zh-CN" w:bidi="ar-SA"/>
                    </w:rPr>
                  </w:pPr>
                  <w:r>
                    <w:rPr>
                      <w:color w:val="auto"/>
                      <w:sz w:val="18"/>
                      <w:szCs w:val="18"/>
                      <w:highlight w:val="none"/>
                      <w:lang w:val="zh-CN"/>
                    </w:rPr>
                    <w:t>年平均</w:t>
                  </w:r>
                </w:p>
              </w:tc>
            </w:tr>
            <w:tr w14:paraId="18D78E0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0125B969">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lang w:val="en-GB"/>
                    </w:rPr>
                  </w:pPr>
                  <w:r>
                    <w:rPr>
                      <w:color w:val="auto"/>
                      <w:sz w:val="18"/>
                      <w:szCs w:val="18"/>
                      <w:highlight w:val="none"/>
                      <w:lang w:val="en-GB"/>
                    </w:rPr>
                    <w:t>1</w:t>
                  </w:r>
                </w:p>
              </w:tc>
              <w:tc>
                <w:tcPr>
                  <w:tcW w:w="685" w:type="pct"/>
                  <w:tcBorders>
                    <w:tl2br w:val="nil"/>
                    <w:tr2bl w:val="nil"/>
                  </w:tcBorders>
                  <w:noWrap w:val="0"/>
                  <w:vAlign w:val="center"/>
                </w:tcPr>
                <w:p w14:paraId="1F4BDCC3">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lang w:val="en-GB"/>
                    </w:rPr>
                  </w:pPr>
                  <w:r>
                    <w:rPr>
                      <w:color w:val="auto"/>
                      <w:sz w:val="18"/>
                      <w:szCs w:val="18"/>
                      <w:highlight w:val="none"/>
                      <w:lang w:val="en-GB"/>
                    </w:rPr>
                    <w:t>SO</w:t>
                  </w:r>
                  <w:r>
                    <w:rPr>
                      <w:color w:val="auto"/>
                      <w:sz w:val="18"/>
                      <w:szCs w:val="18"/>
                      <w:highlight w:val="none"/>
                      <w:vertAlign w:val="subscript"/>
                      <w:lang w:val="en-GB"/>
                    </w:rPr>
                    <w:t>2</w:t>
                  </w:r>
                </w:p>
              </w:tc>
              <w:tc>
                <w:tcPr>
                  <w:tcW w:w="931" w:type="pct"/>
                  <w:tcBorders>
                    <w:tl2br w:val="nil"/>
                    <w:tr2bl w:val="nil"/>
                  </w:tcBorders>
                  <w:noWrap w:val="0"/>
                  <w:vAlign w:val="center"/>
                </w:tcPr>
                <w:p w14:paraId="3E75476E">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lang w:val="en-GB"/>
                    </w:rPr>
                  </w:pPr>
                  <w:r>
                    <w:rPr>
                      <w:color w:val="auto"/>
                      <w:sz w:val="18"/>
                      <w:szCs w:val="18"/>
                      <w:highlight w:val="none"/>
                    </w:rPr>
                    <w:t>μg/m</w:t>
                  </w:r>
                  <w:r>
                    <w:rPr>
                      <w:color w:val="auto"/>
                      <w:sz w:val="18"/>
                      <w:szCs w:val="18"/>
                      <w:highlight w:val="none"/>
                      <w:vertAlign w:val="superscript"/>
                    </w:rPr>
                    <w:t>3</w:t>
                  </w:r>
                </w:p>
              </w:tc>
              <w:tc>
                <w:tcPr>
                  <w:tcW w:w="789" w:type="pct"/>
                  <w:tcBorders>
                    <w:tl2br w:val="nil"/>
                    <w:tr2bl w:val="nil"/>
                  </w:tcBorders>
                  <w:noWrap w:val="0"/>
                  <w:vAlign w:val="center"/>
                </w:tcPr>
                <w:p w14:paraId="2C80CB74">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150</w:t>
                  </w:r>
                </w:p>
              </w:tc>
              <w:tc>
                <w:tcPr>
                  <w:tcW w:w="750" w:type="pct"/>
                  <w:tcBorders>
                    <w:tl2br w:val="nil"/>
                    <w:tr2bl w:val="nil"/>
                  </w:tcBorders>
                  <w:noWrap w:val="0"/>
                  <w:vAlign w:val="center"/>
                </w:tcPr>
                <w:p w14:paraId="641EE2CD">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lang w:val="en-GB"/>
                    </w:rPr>
                  </w:pPr>
                  <w:r>
                    <w:rPr>
                      <w:rFonts w:hint="eastAsia"/>
                      <w:color w:val="auto"/>
                      <w:sz w:val="18"/>
                      <w:szCs w:val="18"/>
                      <w:highlight w:val="none"/>
                      <w:lang w:val="en-GB"/>
                    </w:rPr>
                    <w:t>5</w:t>
                  </w:r>
                  <w:r>
                    <w:rPr>
                      <w:color w:val="auto"/>
                      <w:sz w:val="18"/>
                      <w:szCs w:val="18"/>
                      <w:highlight w:val="none"/>
                      <w:lang w:val="en-GB"/>
                    </w:rPr>
                    <w:t>0</w:t>
                  </w:r>
                </w:p>
              </w:tc>
              <w:tc>
                <w:tcPr>
                  <w:tcW w:w="750" w:type="pct"/>
                  <w:tcBorders>
                    <w:tl2br w:val="nil"/>
                    <w:tr2bl w:val="nil"/>
                  </w:tcBorders>
                  <w:noWrap w:val="0"/>
                  <w:vAlign w:val="center"/>
                </w:tcPr>
                <w:p w14:paraId="1EBA5FD8">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lang w:val="en-GB"/>
                    </w:rPr>
                  </w:pPr>
                  <w:r>
                    <w:rPr>
                      <w:color w:val="auto"/>
                      <w:spacing w:val="4"/>
                      <w:sz w:val="18"/>
                      <w:szCs w:val="18"/>
                      <w:highlight w:val="none"/>
                    </w:rPr>
                    <w:t>/</w:t>
                  </w:r>
                </w:p>
              </w:tc>
              <w:tc>
                <w:tcPr>
                  <w:tcW w:w="661" w:type="pct"/>
                  <w:tcBorders>
                    <w:tl2br w:val="nil"/>
                    <w:tr2bl w:val="nil"/>
                  </w:tcBorders>
                  <w:noWrap w:val="0"/>
                  <w:vAlign w:val="center"/>
                </w:tcPr>
                <w:p w14:paraId="6C46C3CA">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color w:val="auto"/>
                      <w:sz w:val="18"/>
                      <w:szCs w:val="18"/>
                      <w:highlight w:val="none"/>
                      <w:lang w:val="en-US"/>
                    </w:rPr>
                  </w:pPr>
                  <w:r>
                    <w:rPr>
                      <w:rFonts w:hint="eastAsia"/>
                      <w:color w:val="auto"/>
                      <w:sz w:val="18"/>
                      <w:szCs w:val="18"/>
                      <w:highlight w:val="none"/>
                      <w:lang w:val="en-US" w:eastAsia="zh-CN"/>
                    </w:rPr>
                    <w:t>20</w:t>
                  </w:r>
                </w:p>
              </w:tc>
            </w:tr>
            <w:tr w14:paraId="674CC4D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5BC095EC">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2</w:t>
                  </w:r>
                </w:p>
              </w:tc>
              <w:tc>
                <w:tcPr>
                  <w:tcW w:w="685" w:type="pct"/>
                  <w:tcBorders>
                    <w:tl2br w:val="nil"/>
                    <w:tr2bl w:val="nil"/>
                  </w:tcBorders>
                  <w:noWrap w:val="0"/>
                  <w:vAlign w:val="center"/>
                </w:tcPr>
                <w:p w14:paraId="39C73BEA">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NO</w:t>
                  </w:r>
                  <w:r>
                    <w:rPr>
                      <w:color w:val="auto"/>
                      <w:sz w:val="18"/>
                      <w:szCs w:val="18"/>
                      <w:highlight w:val="none"/>
                      <w:vertAlign w:val="subscript"/>
                    </w:rPr>
                    <w:t>2</w:t>
                  </w:r>
                </w:p>
              </w:tc>
              <w:tc>
                <w:tcPr>
                  <w:tcW w:w="931" w:type="pct"/>
                  <w:tcBorders>
                    <w:tl2br w:val="nil"/>
                    <w:tr2bl w:val="nil"/>
                  </w:tcBorders>
                  <w:noWrap w:val="0"/>
                  <w:vAlign w:val="center"/>
                </w:tcPr>
                <w:p w14:paraId="334459EB">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μg/m</w:t>
                  </w:r>
                  <w:r>
                    <w:rPr>
                      <w:color w:val="auto"/>
                      <w:sz w:val="18"/>
                      <w:szCs w:val="18"/>
                      <w:highlight w:val="none"/>
                      <w:vertAlign w:val="superscript"/>
                    </w:rPr>
                    <w:t>3</w:t>
                  </w:r>
                </w:p>
              </w:tc>
              <w:tc>
                <w:tcPr>
                  <w:tcW w:w="789" w:type="pct"/>
                  <w:tcBorders>
                    <w:tl2br w:val="nil"/>
                    <w:tr2bl w:val="nil"/>
                  </w:tcBorders>
                  <w:noWrap w:val="0"/>
                  <w:vAlign w:val="center"/>
                </w:tcPr>
                <w:p w14:paraId="444B18A1">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2</w:t>
                  </w:r>
                  <w:r>
                    <w:rPr>
                      <w:color w:val="auto"/>
                      <w:sz w:val="18"/>
                      <w:szCs w:val="18"/>
                      <w:highlight w:val="none"/>
                    </w:rPr>
                    <w:t>00</w:t>
                  </w:r>
                </w:p>
              </w:tc>
              <w:tc>
                <w:tcPr>
                  <w:tcW w:w="750" w:type="pct"/>
                  <w:tcBorders>
                    <w:tl2br w:val="nil"/>
                    <w:tr2bl w:val="nil"/>
                  </w:tcBorders>
                  <w:noWrap w:val="0"/>
                  <w:vAlign w:val="center"/>
                </w:tcPr>
                <w:p w14:paraId="71BB07EF">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8</w:t>
                  </w:r>
                  <w:r>
                    <w:rPr>
                      <w:color w:val="auto"/>
                      <w:sz w:val="18"/>
                      <w:szCs w:val="18"/>
                      <w:highlight w:val="none"/>
                    </w:rPr>
                    <w:t>0</w:t>
                  </w:r>
                </w:p>
              </w:tc>
              <w:tc>
                <w:tcPr>
                  <w:tcW w:w="750" w:type="pct"/>
                  <w:tcBorders>
                    <w:tl2br w:val="nil"/>
                    <w:tr2bl w:val="nil"/>
                  </w:tcBorders>
                  <w:noWrap w:val="0"/>
                  <w:vAlign w:val="center"/>
                </w:tcPr>
                <w:p w14:paraId="1EB012F4">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c>
                <w:tcPr>
                  <w:tcW w:w="661" w:type="pct"/>
                  <w:tcBorders>
                    <w:tl2br w:val="nil"/>
                    <w:tr2bl w:val="nil"/>
                  </w:tcBorders>
                  <w:noWrap w:val="0"/>
                  <w:vAlign w:val="center"/>
                </w:tcPr>
                <w:p w14:paraId="15EE1022">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4</w:t>
                  </w:r>
                  <w:r>
                    <w:rPr>
                      <w:color w:val="auto"/>
                      <w:sz w:val="18"/>
                      <w:szCs w:val="18"/>
                      <w:highlight w:val="none"/>
                    </w:rPr>
                    <w:t>0</w:t>
                  </w:r>
                </w:p>
              </w:tc>
            </w:tr>
            <w:tr w14:paraId="5AD7411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59A7B187">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3</w:t>
                  </w:r>
                </w:p>
              </w:tc>
              <w:tc>
                <w:tcPr>
                  <w:tcW w:w="685" w:type="pct"/>
                  <w:tcBorders>
                    <w:tl2br w:val="nil"/>
                    <w:tr2bl w:val="nil"/>
                  </w:tcBorders>
                  <w:noWrap w:val="0"/>
                  <w:vAlign w:val="center"/>
                </w:tcPr>
                <w:p w14:paraId="6A084730">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PM</w:t>
                  </w:r>
                  <w:r>
                    <w:rPr>
                      <w:color w:val="auto"/>
                      <w:sz w:val="18"/>
                      <w:szCs w:val="18"/>
                      <w:highlight w:val="none"/>
                      <w:vertAlign w:val="subscript"/>
                    </w:rPr>
                    <w:t>10</w:t>
                  </w:r>
                </w:p>
              </w:tc>
              <w:tc>
                <w:tcPr>
                  <w:tcW w:w="931" w:type="pct"/>
                  <w:tcBorders>
                    <w:tl2br w:val="nil"/>
                    <w:tr2bl w:val="nil"/>
                  </w:tcBorders>
                  <w:noWrap w:val="0"/>
                  <w:vAlign w:val="center"/>
                </w:tcPr>
                <w:p w14:paraId="500AEEAC">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μg/m</w:t>
                  </w:r>
                  <w:r>
                    <w:rPr>
                      <w:color w:val="auto"/>
                      <w:sz w:val="18"/>
                      <w:szCs w:val="18"/>
                      <w:highlight w:val="none"/>
                      <w:vertAlign w:val="superscript"/>
                    </w:rPr>
                    <w:t>3</w:t>
                  </w:r>
                </w:p>
              </w:tc>
              <w:tc>
                <w:tcPr>
                  <w:tcW w:w="789" w:type="pct"/>
                  <w:tcBorders>
                    <w:tl2br w:val="nil"/>
                    <w:tr2bl w:val="nil"/>
                  </w:tcBorders>
                  <w:noWrap w:val="0"/>
                  <w:vAlign w:val="center"/>
                </w:tcPr>
                <w:p w14:paraId="53E5C2FE">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w:t>
                  </w:r>
                </w:p>
              </w:tc>
              <w:tc>
                <w:tcPr>
                  <w:tcW w:w="750" w:type="pct"/>
                  <w:tcBorders>
                    <w:tl2br w:val="nil"/>
                    <w:tr2bl w:val="nil"/>
                  </w:tcBorders>
                  <w:noWrap w:val="0"/>
                  <w:vAlign w:val="center"/>
                </w:tcPr>
                <w:p w14:paraId="7DDFAE1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50</w:t>
                  </w:r>
                </w:p>
              </w:tc>
              <w:tc>
                <w:tcPr>
                  <w:tcW w:w="750" w:type="pct"/>
                  <w:tcBorders>
                    <w:tl2br w:val="nil"/>
                    <w:tr2bl w:val="nil"/>
                  </w:tcBorders>
                  <w:noWrap w:val="0"/>
                  <w:vAlign w:val="center"/>
                </w:tcPr>
                <w:p w14:paraId="2ABAF9C0">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c>
                <w:tcPr>
                  <w:tcW w:w="661" w:type="pct"/>
                  <w:tcBorders>
                    <w:tl2br w:val="nil"/>
                    <w:tr2bl w:val="nil"/>
                  </w:tcBorders>
                  <w:noWrap w:val="0"/>
                  <w:vAlign w:val="center"/>
                </w:tcPr>
                <w:p w14:paraId="722D966A">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lang w:val="en-US" w:eastAsia="zh-CN"/>
                    </w:rPr>
                    <w:t>4</w:t>
                  </w:r>
                  <w:r>
                    <w:rPr>
                      <w:color w:val="auto"/>
                      <w:sz w:val="18"/>
                      <w:szCs w:val="18"/>
                      <w:highlight w:val="none"/>
                    </w:rPr>
                    <w:t>0</w:t>
                  </w:r>
                </w:p>
              </w:tc>
            </w:tr>
            <w:tr w14:paraId="20B265E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04025D49">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4</w:t>
                  </w:r>
                </w:p>
              </w:tc>
              <w:tc>
                <w:tcPr>
                  <w:tcW w:w="685" w:type="pct"/>
                  <w:tcBorders>
                    <w:tl2br w:val="nil"/>
                    <w:tr2bl w:val="nil"/>
                  </w:tcBorders>
                  <w:noWrap w:val="0"/>
                  <w:vAlign w:val="center"/>
                </w:tcPr>
                <w:p w14:paraId="31985ECC">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PM</w:t>
                  </w:r>
                  <w:r>
                    <w:rPr>
                      <w:color w:val="auto"/>
                      <w:sz w:val="18"/>
                      <w:szCs w:val="18"/>
                      <w:highlight w:val="none"/>
                      <w:vertAlign w:val="subscript"/>
                    </w:rPr>
                    <w:t>2.5</w:t>
                  </w:r>
                </w:p>
              </w:tc>
              <w:tc>
                <w:tcPr>
                  <w:tcW w:w="931" w:type="pct"/>
                  <w:tcBorders>
                    <w:tl2br w:val="nil"/>
                    <w:tr2bl w:val="nil"/>
                  </w:tcBorders>
                  <w:noWrap w:val="0"/>
                  <w:vAlign w:val="center"/>
                </w:tcPr>
                <w:p w14:paraId="6E4B09A0">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μg/m</w:t>
                  </w:r>
                  <w:r>
                    <w:rPr>
                      <w:color w:val="auto"/>
                      <w:sz w:val="18"/>
                      <w:szCs w:val="18"/>
                      <w:highlight w:val="none"/>
                      <w:vertAlign w:val="superscript"/>
                    </w:rPr>
                    <w:t>3</w:t>
                  </w:r>
                </w:p>
              </w:tc>
              <w:tc>
                <w:tcPr>
                  <w:tcW w:w="789" w:type="pct"/>
                  <w:tcBorders>
                    <w:tl2br w:val="nil"/>
                    <w:tr2bl w:val="nil"/>
                  </w:tcBorders>
                  <w:noWrap w:val="0"/>
                  <w:vAlign w:val="center"/>
                </w:tcPr>
                <w:p w14:paraId="6037383F">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pacing w:val="4"/>
                      <w:sz w:val="18"/>
                      <w:szCs w:val="18"/>
                      <w:highlight w:val="none"/>
                    </w:rPr>
                  </w:pPr>
                  <w:r>
                    <w:rPr>
                      <w:rFonts w:hint="eastAsia"/>
                      <w:color w:val="auto"/>
                      <w:spacing w:val="4"/>
                      <w:sz w:val="18"/>
                      <w:szCs w:val="18"/>
                      <w:highlight w:val="none"/>
                    </w:rPr>
                    <w:t>/</w:t>
                  </w:r>
                </w:p>
              </w:tc>
              <w:tc>
                <w:tcPr>
                  <w:tcW w:w="750" w:type="pct"/>
                  <w:tcBorders>
                    <w:tl2br w:val="nil"/>
                    <w:tr2bl w:val="nil"/>
                  </w:tcBorders>
                  <w:noWrap w:val="0"/>
                  <w:vAlign w:val="center"/>
                </w:tcPr>
                <w:p w14:paraId="4798F60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35</w:t>
                  </w:r>
                </w:p>
              </w:tc>
              <w:tc>
                <w:tcPr>
                  <w:tcW w:w="750" w:type="pct"/>
                  <w:tcBorders>
                    <w:tl2br w:val="nil"/>
                    <w:tr2bl w:val="nil"/>
                  </w:tcBorders>
                  <w:noWrap w:val="0"/>
                  <w:vAlign w:val="center"/>
                </w:tcPr>
                <w:p w14:paraId="1037581F">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pacing w:val="4"/>
                      <w:sz w:val="18"/>
                      <w:szCs w:val="18"/>
                      <w:highlight w:val="none"/>
                    </w:rPr>
                  </w:pPr>
                  <w:r>
                    <w:rPr>
                      <w:color w:val="auto"/>
                      <w:spacing w:val="4"/>
                      <w:sz w:val="18"/>
                      <w:szCs w:val="18"/>
                      <w:highlight w:val="none"/>
                    </w:rPr>
                    <w:t>/</w:t>
                  </w:r>
                </w:p>
              </w:tc>
              <w:tc>
                <w:tcPr>
                  <w:tcW w:w="661" w:type="pct"/>
                  <w:tcBorders>
                    <w:tl2br w:val="nil"/>
                    <w:tr2bl w:val="nil"/>
                  </w:tcBorders>
                  <w:noWrap w:val="0"/>
                  <w:vAlign w:val="center"/>
                </w:tcPr>
                <w:p w14:paraId="69E54E6B">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lang w:val="en-US" w:eastAsia="zh-CN"/>
                    </w:rPr>
                    <w:t>1</w:t>
                  </w:r>
                  <w:r>
                    <w:rPr>
                      <w:color w:val="auto"/>
                      <w:sz w:val="18"/>
                      <w:szCs w:val="18"/>
                      <w:highlight w:val="none"/>
                    </w:rPr>
                    <w:t>5</w:t>
                  </w:r>
                </w:p>
              </w:tc>
            </w:tr>
            <w:tr w14:paraId="0CDC32C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52AADDC2">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5</w:t>
                  </w:r>
                </w:p>
              </w:tc>
              <w:tc>
                <w:tcPr>
                  <w:tcW w:w="685" w:type="pct"/>
                  <w:tcBorders>
                    <w:tl2br w:val="nil"/>
                    <w:tr2bl w:val="nil"/>
                  </w:tcBorders>
                  <w:noWrap w:val="0"/>
                  <w:vAlign w:val="center"/>
                </w:tcPr>
                <w:p w14:paraId="41279B5A">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TSP</w:t>
                  </w:r>
                </w:p>
              </w:tc>
              <w:tc>
                <w:tcPr>
                  <w:tcW w:w="931" w:type="pct"/>
                  <w:tcBorders>
                    <w:tl2br w:val="nil"/>
                    <w:tr2bl w:val="nil"/>
                  </w:tcBorders>
                  <w:noWrap w:val="0"/>
                  <w:vAlign w:val="center"/>
                </w:tcPr>
                <w:p w14:paraId="26A59474">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μg/m</w:t>
                  </w:r>
                  <w:r>
                    <w:rPr>
                      <w:color w:val="auto"/>
                      <w:sz w:val="18"/>
                      <w:szCs w:val="18"/>
                      <w:highlight w:val="none"/>
                      <w:vertAlign w:val="superscript"/>
                    </w:rPr>
                    <w:t>3</w:t>
                  </w:r>
                </w:p>
              </w:tc>
              <w:tc>
                <w:tcPr>
                  <w:tcW w:w="789" w:type="pct"/>
                  <w:tcBorders>
                    <w:tl2br w:val="nil"/>
                    <w:tr2bl w:val="nil"/>
                  </w:tcBorders>
                  <w:noWrap w:val="0"/>
                  <w:vAlign w:val="center"/>
                </w:tcPr>
                <w:p w14:paraId="18C7B4B7">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w:t>
                  </w:r>
                </w:p>
              </w:tc>
              <w:tc>
                <w:tcPr>
                  <w:tcW w:w="750" w:type="pct"/>
                  <w:tcBorders>
                    <w:tl2br w:val="nil"/>
                    <w:tr2bl w:val="nil"/>
                  </w:tcBorders>
                  <w:noWrap w:val="0"/>
                  <w:vAlign w:val="center"/>
                </w:tcPr>
                <w:p w14:paraId="2385FED4">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1</w:t>
                  </w:r>
                  <w:r>
                    <w:rPr>
                      <w:color w:val="auto"/>
                      <w:sz w:val="18"/>
                      <w:szCs w:val="18"/>
                      <w:highlight w:val="none"/>
                    </w:rPr>
                    <w:t>20</w:t>
                  </w:r>
                </w:p>
              </w:tc>
              <w:tc>
                <w:tcPr>
                  <w:tcW w:w="750" w:type="pct"/>
                  <w:tcBorders>
                    <w:tl2br w:val="nil"/>
                    <w:tr2bl w:val="nil"/>
                  </w:tcBorders>
                  <w:noWrap w:val="0"/>
                  <w:vAlign w:val="center"/>
                </w:tcPr>
                <w:p w14:paraId="7208DB44">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c>
                <w:tcPr>
                  <w:tcW w:w="661" w:type="pct"/>
                  <w:tcBorders>
                    <w:tl2br w:val="nil"/>
                    <w:tr2bl w:val="nil"/>
                  </w:tcBorders>
                  <w:noWrap w:val="0"/>
                  <w:vAlign w:val="center"/>
                </w:tcPr>
                <w:p w14:paraId="0E0908E2">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8</w:t>
                  </w:r>
                  <w:r>
                    <w:rPr>
                      <w:color w:val="auto"/>
                      <w:sz w:val="18"/>
                      <w:szCs w:val="18"/>
                      <w:highlight w:val="none"/>
                    </w:rPr>
                    <w:t>0</w:t>
                  </w:r>
                </w:p>
              </w:tc>
            </w:tr>
            <w:tr w14:paraId="7E50E77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3D3BE216">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6</w:t>
                  </w:r>
                </w:p>
              </w:tc>
              <w:tc>
                <w:tcPr>
                  <w:tcW w:w="685" w:type="pct"/>
                  <w:tcBorders>
                    <w:tl2br w:val="nil"/>
                    <w:tr2bl w:val="nil"/>
                  </w:tcBorders>
                  <w:noWrap w:val="0"/>
                  <w:vAlign w:val="center"/>
                </w:tcPr>
                <w:p w14:paraId="7358B631">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CO</w:t>
                  </w:r>
                </w:p>
              </w:tc>
              <w:tc>
                <w:tcPr>
                  <w:tcW w:w="931" w:type="pct"/>
                  <w:tcBorders>
                    <w:tl2br w:val="nil"/>
                    <w:tr2bl w:val="nil"/>
                  </w:tcBorders>
                  <w:noWrap w:val="0"/>
                  <w:vAlign w:val="center"/>
                </w:tcPr>
                <w:p w14:paraId="2F35FBA6">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mg/m</w:t>
                  </w:r>
                  <w:r>
                    <w:rPr>
                      <w:color w:val="auto"/>
                      <w:sz w:val="18"/>
                      <w:szCs w:val="18"/>
                      <w:highlight w:val="none"/>
                      <w:vertAlign w:val="superscript"/>
                    </w:rPr>
                    <w:t>3</w:t>
                  </w:r>
                </w:p>
              </w:tc>
              <w:tc>
                <w:tcPr>
                  <w:tcW w:w="789" w:type="pct"/>
                  <w:tcBorders>
                    <w:tl2br w:val="nil"/>
                    <w:tr2bl w:val="nil"/>
                  </w:tcBorders>
                  <w:noWrap w:val="0"/>
                  <w:vAlign w:val="center"/>
                </w:tcPr>
                <w:p w14:paraId="2B0C7E67">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pacing w:val="4"/>
                      <w:sz w:val="18"/>
                      <w:szCs w:val="18"/>
                      <w:highlight w:val="none"/>
                    </w:rPr>
                  </w:pPr>
                  <w:r>
                    <w:rPr>
                      <w:rFonts w:hint="eastAsia"/>
                      <w:color w:val="auto"/>
                      <w:spacing w:val="4"/>
                      <w:sz w:val="18"/>
                      <w:szCs w:val="18"/>
                      <w:highlight w:val="none"/>
                    </w:rPr>
                    <w:t>1</w:t>
                  </w:r>
                  <w:r>
                    <w:rPr>
                      <w:color w:val="auto"/>
                      <w:spacing w:val="4"/>
                      <w:sz w:val="18"/>
                      <w:szCs w:val="18"/>
                      <w:highlight w:val="none"/>
                    </w:rPr>
                    <w:t>0</w:t>
                  </w:r>
                </w:p>
              </w:tc>
              <w:tc>
                <w:tcPr>
                  <w:tcW w:w="750" w:type="pct"/>
                  <w:tcBorders>
                    <w:tl2br w:val="nil"/>
                    <w:tr2bl w:val="nil"/>
                  </w:tcBorders>
                  <w:noWrap w:val="0"/>
                  <w:vAlign w:val="center"/>
                </w:tcPr>
                <w:p w14:paraId="0986643B">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4</w:t>
                  </w:r>
                </w:p>
              </w:tc>
              <w:tc>
                <w:tcPr>
                  <w:tcW w:w="750" w:type="pct"/>
                  <w:tcBorders>
                    <w:tl2br w:val="nil"/>
                    <w:tr2bl w:val="nil"/>
                  </w:tcBorders>
                  <w:noWrap w:val="0"/>
                  <w:vAlign w:val="center"/>
                </w:tcPr>
                <w:p w14:paraId="3305A895">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c>
                <w:tcPr>
                  <w:tcW w:w="661" w:type="pct"/>
                  <w:tcBorders>
                    <w:tl2br w:val="nil"/>
                    <w:tr2bl w:val="nil"/>
                  </w:tcBorders>
                  <w:noWrap w:val="0"/>
                  <w:vAlign w:val="center"/>
                </w:tcPr>
                <w:p w14:paraId="00DF0B1C">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r>
            <w:tr w14:paraId="66A03C8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31" w:type="pct"/>
                  <w:tcBorders>
                    <w:tl2br w:val="nil"/>
                    <w:tr2bl w:val="nil"/>
                  </w:tcBorders>
                  <w:noWrap w:val="0"/>
                  <w:vAlign w:val="center"/>
                </w:tcPr>
                <w:p w14:paraId="1D4DC7A6">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color w:val="auto"/>
                      <w:sz w:val="18"/>
                      <w:szCs w:val="18"/>
                      <w:highlight w:val="none"/>
                    </w:rPr>
                  </w:pPr>
                  <w:r>
                    <w:rPr>
                      <w:color w:val="auto"/>
                      <w:sz w:val="18"/>
                      <w:szCs w:val="18"/>
                      <w:highlight w:val="none"/>
                    </w:rPr>
                    <w:t>7</w:t>
                  </w:r>
                </w:p>
              </w:tc>
              <w:tc>
                <w:tcPr>
                  <w:tcW w:w="685" w:type="pct"/>
                  <w:tcBorders>
                    <w:tl2br w:val="nil"/>
                    <w:tr2bl w:val="nil"/>
                  </w:tcBorders>
                  <w:noWrap w:val="0"/>
                  <w:vAlign w:val="center"/>
                </w:tcPr>
                <w:p w14:paraId="7993496F">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O</w:t>
                  </w:r>
                  <w:r>
                    <w:rPr>
                      <w:color w:val="auto"/>
                      <w:sz w:val="18"/>
                      <w:szCs w:val="18"/>
                      <w:highlight w:val="none"/>
                      <w:vertAlign w:val="subscript"/>
                    </w:rPr>
                    <w:t>3</w:t>
                  </w:r>
                </w:p>
              </w:tc>
              <w:tc>
                <w:tcPr>
                  <w:tcW w:w="931" w:type="pct"/>
                  <w:tcBorders>
                    <w:tl2br w:val="nil"/>
                    <w:tr2bl w:val="nil"/>
                  </w:tcBorders>
                  <w:noWrap w:val="0"/>
                  <w:vAlign w:val="center"/>
                </w:tcPr>
                <w:p w14:paraId="5FD1A38C">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z w:val="18"/>
                      <w:szCs w:val="18"/>
                      <w:highlight w:val="none"/>
                    </w:rPr>
                    <w:t>μg/m</w:t>
                  </w:r>
                  <w:r>
                    <w:rPr>
                      <w:color w:val="auto"/>
                      <w:sz w:val="18"/>
                      <w:szCs w:val="18"/>
                      <w:highlight w:val="none"/>
                      <w:vertAlign w:val="superscript"/>
                    </w:rPr>
                    <w:t>3</w:t>
                  </w:r>
                </w:p>
              </w:tc>
              <w:tc>
                <w:tcPr>
                  <w:tcW w:w="789" w:type="pct"/>
                  <w:tcBorders>
                    <w:tl2br w:val="nil"/>
                    <w:tr2bl w:val="nil"/>
                  </w:tcBorders>
                  <w:noWrap w:val="0"/>
                  <w:vAlign w:val="center"/>
                </w:tcPr>
                <w:p w14:paraId="3A988B9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eastAsia="宋体"/>
                      <w:color w:val="auto"/>
                      <w:spacing w:val="4"/>
                      <w:sz w:val="18"/>
                      <w:szCs w:val="18"/>
                      <w:highlight w:val="none"/>
                      <w:lang w:val="en-US" w:eastAsia="zh-CN"/>
                    </w:rPr>
                  </w:pPr>
                  <w:r>
                    <w:rPr>
                      <w:rFonts w:hint="eastAsia"/>
                      <w:color w:val="auto"/>
                      <w:spacing w:val="4"/>
                      <w:sz w:val="18"/>
                      <w:szCs w:val="18"/>
                      <w:highlight w:val="none"/>
                      <w:lang w:val="en-US" w:eastAsia="zh-CN"/>
                    </w:rPr>
                    <w:t>160</w:t>
                  </w:r>
                </w:p>
              </w:tc>
              <w:tc>
                <w:tcPr>
                  <w:tcW w:w="750" w:type="pct"/>
                  <w:tcBorders>
                    <w:tl2br w:val="nil"/>
                    <w:tr2bl w:val="nil"/>
                  </w:tcBorders>
                  <w:noWrap w:val="0"/>
                  <w:vAlign w:val="center"/>
                </w:tcPr>
                <w:p w14:paraId="7EB0C494">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c>
                <w:tcPr>
                  <w:tcW w:w="750" w:type="pct"/>
                  <w:tcBorders>
                    <w:tl2br w:val="nil"/>
                    <w:tr2bl w:val="nil"/>
                  </w:tcBorders>
                  <w:noWrap w:val="0"/>
                  <w:vAlign w:val="center"/>
                </w:tcPr>
                <w:p w14:paraId="0F3F2EAA">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rFonts w:hint="eastAsia"/>
                      <w:color w:val="auto"/>
                      <w:sz w:val="18"/>
                      <w:szCs w:val="18"/>
                      <w:highlight w:val="none"/>
                    </w:rPr>
                    <w:t>1</w:t>
                  </w:r>
                  <w:r>
                    <w:rPr>
                      <w:rFonts w:hint="eastAsia"/>
                      <w:color w:val="auto"/>
                      <w:sz w:val="18"/>
                      <w:szCs w:val="18"/>
                      <w:highlight w:val="none"/>
                      <w:lang w:val="en-US" w:eastAsia="zh-CN"/>
                    </w:rPr>
                    <w:t>0</w:t>
                  </w:r>
                  <w:r>
                    <w:rPr>
                      <w:color w:val="auto"/>
                      <w:sz w:val="18"/>
                      <w:szCs w:val="18"/>
                      <w:highlight w:val="none"/>
                    </w:rPr>
                    <w:t>0</w:t>
                  </w:r>
                </w:p>
              </w:tc>
              <w:tc>
                <w:tcPr>
                  <w:tcW w:w="661" w:type="pct"/>
                  <w:tcBorders>
                    <w:tl2br w:val="nil"/>
                    <w:tr2bl w:val="nil"/>
                  </w:tcBorders>
                  <w:noWrap w:val="0"/>
                  <w:vAlign w:val="center"/>
                </w:tcPr>
                <w:p w14:paraId="43942EE9">
                  <w:pPr>
                    <w:keepNext w:val="0"/>
                    <w:keepLines w:val="0"/>
                    <w:pageBreakBefore w:val="0"/>
                    <w:widowControl w:val="0"/>
                    <w:kinsoku/>
                    <w:wordWrap/>
                    <w:overflowPunct/>
                    <w:topLinePunct w:val="0"/>
                    <w:autoSpaceDE w:val="0"/>
                    <w:autoSpaceDN w:val="0"/>
                    <w:bidi w:val="0"/>
                    <w:adjustRightInd w:val="0"/>
                    <w:snapToGrid w:val="0"/>
                    <w:jc w:val="center"/>
                    <w:textAlignment w:val="auto"/>
                    <w:rPr>
                      <w:color w:val="auto"/>
                      <w:sz w:val="18"/>
                      <w:szCs w:val="18"/>
                      <w:highlight w:val="none"/>
                    </w:rPr>
                  </w:pPr>
                  <w:r>
                    <w:rPr>
                      <w:color w:val="auto"/>
                      <w:spacing w:val="4"/>
                      <w:sz w:val="18"/>
                      <w:szCs w:val="18"/>
                      <w:highlight w:val="none"/>
                    </w:rPr>
                    <w:t>/</w:t>
                  </w:r>
                </w:p>
              </w:tc>
            </w:tr>
          </w:tbl>
          <w:p w14:paraId="65368425">
            <w:pPr>
              <w:pStyle w:val="56"/>
              <w:ind w:firstLine="420"/>
              <w:rPr>
                <w:color w:val="auto"/>
                <w:highlight w:val="none"/>
              </w:rPr>
            </w:pPr>
            <w:r>
              <w:rPr>
                <w:color w:val="auto"/>
                <w:highlight w:val="none"/>
              </w:rPr>
              <w:t>2、声环境</w:t>
            </w:r>
          </w:p>
          <w:p w14:paraId="77787B85">
            <w:pPr>
              <w:pStyle w:val="56"/>
              <w:ind w:firstLine="420"/>
              <w:rPr>
                <w:color w:val="auto"/>
                <w:highlight w:val="none"/>
              </w:rPr>
            </w:pPr>
            <w:r>
              <w:rPr>
                <w:rFonts w:hint="eastAsia"/>
                <w:color w:val="auto"/>
                <w:highlight w:val="none"/>
              </w:rPr>
              <w:t>本</w:t>
            </w:r>
            <w:r>
              <w:rPr>
                <w:color w:val="auto"/>
                <w:highlight w:val="none"/>
              </w:rPr>
              <w:t>项目声环境</w:t>
            </w:r>
            <w:r>
              <w:rPr>
                <w:rFonts w:hint="eastAsia"/>
                <w:color w:val="auto"/>
                <w:highlight w:val="none"/>
              </w:rPr>
              <w:t>质量标准</w:t>
            </w:r>
            <w:r>
              <w:rPr>
                <w:color w:val="auto"/>
                <w:highlight w:val="none"/>
              </w:rPr>
              <w:t>执行《声环境质量标准》（GB3096-2008）中的1类标准</w:t>
            </w:r>
            <w:r>
              <w:rPr>
                <w:rFonts w:hint="eastAsia"/>
                <w:color w:val="auto"/>
                <w:highlight w:val="none"/>
                <w:lang w:eastAsia="zh-CN"/>
              </w:rPr>
              <w:t>，</w:t>
            </w:r>
            <w:r>
              <w:rPr>
                <w:color w:val="auto"/>
                <w:highlight w:val="none"/>
              </w:rPr>
              <w:t>具体标准限值见表</w:t>
            </w:r>
            <w:r>
              <w:rPr>
                <w:rFonts w:hint="eastAsia"/>
                <w:color w:val="auto"/>
                <w:highlight w:val="none"/>
                <w:lang w:val="en-US" w:eastAsia="zh-CN"/>
              </w:rPr>
              <w:t>3-10</w:t>
            </w:r>
            <w:r>
              <w:rPr>
                <w:color w:val="auto"/>
                <w:highlight w:val="none"/>
              </w:rPr>
              <w:t>。</w:t>
            </w:r>
          </w:p>
          <w:p w14:paraId="642795B9">
            <w:pPr>
              <w:pStyle w:val="55"/>
              <w:rPr>
                <w:color w:val="auto"/>
                <w:highlight w:val="none"/>
              </w:rPr>
            </w:pPr>
            <w:r>
              <w:rPr>
                <w:color w:val="auto"/>
                <w:highlight w:val="none"/>
              </w:rPr>
              <w:t>表3-</w:t>
            </w:r>
            <w:r>
              <w:rPr>
                <w:rFonts w:hint="eastAsia"/>
                <w:color w:val="auto"/>
                <w:highlight w:val="none"/>
                <w:lang w:val="en-US" w:eastAsia="zh-CN"/>
              </w:rPr>
              <w:t>10</w:t>
            </w:r>
            <w:r>
              <w:rPr>
                <w:color w:val="auto"/>
                <w:highlight w:val="none"/>
              </w:rPr>
              <w:t xml:space="preserve"> 声环境质量标准</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956"/>
              <w:gridCol w:w="1495"/>
              <w:gridCol w:w="1609"/>
              <w:gridCol w:w="3235"/>
            </w:tblGrid>
            <w:tr w14:paraId="12213D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jc w:val="center"/>
              </w:trPr>
              <w:tc>
                <w:tcPr>
                  <w:tcW w:w="655" w:type="pct"/>
                  <w:vMerge w:val="restart"/>
                  <w:vAlign w:val="center"/>
                </w:tcPr>
                <w:p w14:paraId="5DA7D683">
                  <w:pPr>
                    <w:pStyle w:val="51"/>
                    <w:rPr>
                      <w:color w:val="auto"/>
                      <w:highlight w:val="none"/>
                    </w:rPr>
                  </w:pPr>
                  <w:r>
                    <w:rPr>
                      <w:color w:val="auto"/>
                      <w:highlight w:val="none"/>
                    </w:rPr>
                    <w:t>类别</w:t>
                  </w:r>
                </w:p>
              </w:tc>
              <w:tc>
                <w:tcPr>
                  <w:tcW w:w="2128" w:type="pct"/>
                  <w:gridSpan w:val="2"/>
                  <w:vAlign w:val="center"/>
                </w:tcPr>
                <w:p w14:paraId="0ADD468B">
                  <w:pPr>
                    <w:pStyle w:val="51"/>
                    <w:rPr>
                      <w:color w:val="auto"/>
                      <w:highlight w:val="none"/>
                    </w:rPr>
                  </w:pPr>
                  <w:r>
                    <w:rPr>
                      <w:color w:val="auto"/>
                      <w:highlight w:val="none"/>
                    </w:rPr>
                    <w:t>环境</w:t>
                  </w:r>
                  <w:r>
                    <w:rPr>
                      <w:rFonts w:hint="eastAsia"/>
                      <w:color w:val="auto"/>
                      <w:highlight w:val="none"/>
                      <w:lang w:val="en-US" w:eastAsia="zh-CN"/>
                    </w:rPr>
                    <w:t>质量</w:t>
                  </w:r>
                  <w:r>
                    <w:rPr>
                      <w:color w:val="auto"/>
                      <w:highlight w:val="none"/>
                    </w:rPr>
                    <w:t>标准值 dB(A)</w:t>
                  </w:r>
                </w:p>
              </w:tc>
              <w:tc>
                <w:tcPr>
                  <w:tcW w:w="2217" w:type="pct"/>
                  <w:vMerge w:val="restart"/>
                  <w:tcMar>
                    <w:left w:w="57" w:type="dxa"/>
                    <w:right w:w="57" w:type="dxa"/>
                  </w:tcMar>
                  <w:vAlign w:val="center"/>
                </w:tcPr>
                <w:p w14:paraId="65E80C00">
                  <w:pPr>
                    <w:pStyle w:val="51"/>
                    <w:rPr>
                      <w:color w:val="auto"/>
                      <w:highlight w:val="none"/>
                    </w:rPr>
                  </w:pPr>
                  <w:r>
                    <w:rPr>
                      <w:color w:val="auto"/>
                      <w:highlight w:val="none"/>
                    </w:rPr>
                    <w:t>标准来源</w:t>
                  </w:r>
                </w:p>
              </w:tc>
            </w:tr>
            <w:tr w14:paraId="27860A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jc w:val="center"/>
              </w:trPr>
              <w:tc>
                <w:tcPr>
                  <w:tcW w:w="655" w:type="pct"/>
                  <w:vMerge w:val="continue"/>
                  <w:vAlign w:val="center"/>
                </w:tcPr>
                <w:p w14:paraId="20321E3C">
                  <w:pPr>
                    <w:pStyle w:val="51"/>
                    <w:rPr>
                      <w:color w:val="auto"/>
                      <w:highlight w:val="none"/>
                    </w:rPr>
                  </w:pPr>
                </w:p>
              </w:tc>
              <w:tc>
                <w:tcPr>
                  <w:tcW w:w="1025" w:type="pct"/>
                  <w:vAlign w:val="center"/>
                </w:tcPr>
                <w:p w14:paraId="3DBEAD14">
                  <w:pPr>
                    <w:pStyle w:val="51"/>
                    <w:rPr>
                      <w:color w:val="auto"/>
                      <w:highlight w:val="none"/>
                    </w:rPr>
                  </w:pPr>
                  <w:r>
                    <w:rPr>
                      <w:color w:val="auto"/>
                      <w:highlight w:val="none"/>
                    </w:rPr>
                    <w:t>昼间</w:t>
                  </w:r>
                </w:p>
              </w:tc>
              <w:tc>
                <w:tcPr>
                  <w:tcW w:w="1103" w:type="pct"/>
                  <w:vAlign w:val="center"/>
                </w:tcPr>
                <w:p w14:paraId="5702A477">
                  <w:pPr>
                    <w:pStyle w:val="51"/>
                    <w:rPr>
                      <w:color w:val="auto"/>
                      <w:highlight w:val="none"/>
                    </w:rPr>
                  </w:pPr>
                  <w:r>
                    <w:rPr>
                      <w:color w:val="auto"/>
                      <w:highlight w:val="none"/>
                    </w:rPr>
                    <w:t>夜间</w:t>
                  </w:r>
                </w:p>
              </w:tc>
              <w:tc>
                <w:tcPr>
                  <w:tcW w:w="2217" w:type="pct"/>
                  <w:vMerge w:val="continue"/>
                  <w:tcMar>
                    <w:left w:w="57" w:type="dxa"/>
                    <w:right w:w="57" w:type="dxa"/>
                  </w:tcMar>
                  <w:vAlign w:val="center"/>
                </w:tcPr>
                <w:p w14:paraId="1B6C5F05">
                  <w:pPr>
                    <w:pStyle w:val="51"/>
                    <w:rPr>
                      <w:color w:val="auto"/>
                      <w:highlight w:val="none"/>
                    </w:rPr>
                  </w:pPr>
                </w:p>
              </w:tc>
            </w:tr>
            <w:tr w14:paraId="557A2E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jc w:val="center"/>
              </w:trPr>
              <w:tc>
                <w:tcPr>
                  <w:tcW w:w="655" w:type="pct"/>
                  <w:vAlign w:val="center"/>
                </w:tcPr>
                <w:p w14:paraId="5C5FC939">
                  <w:pPr>
                    <w:pStyle w:val="51"/>
                    <w:rPr>
                      <w:color w:val="auto"/>
                      <w:highlight w:val="none"/>
                    </w:rPr>
                  </w:pPr>
                  <w:r>
                    <w:rPr>
                      <w:color w:val="auto"/>
                      <w:highlight w:val="none"/>
                    </w:rPr>
                    <w:t>1类</w:t>
                  </w:r>
                </w:p>
              </w:tc>
              <w:tc>
                <w:tcPr>
                  <w:tcW w:w="1025" w:type="pct"/>
                  <w:vAlign w:val="center"/>
                </w:tcPr>
                <w:p w14:paraId="61B77695">
                  <w:pPr>
                    <w:pStyle w:val="51"/>
                    <w:rPr>
                      <w:color w:val="auto"/>
                      <w:highlight w:val="none"/>
                    </w:rPr>
                  </w:pPr>
                  <w:r>
                    <w:rPr>
                      <w:color w:val="auto"/>
                      <w:highlight w:val="none"/>
                    </w:rPr>
                    <w:t>55</w:t>
                  </w:r>
                </w:p>
              </w:tc>
              <w:tc>
                <w:tcPr>
                  <w:tcW w:w="1103" w:type="pct"/>
                  <w:vAlign w:val="center"/>
                </w:tcPr>
                <w:p w14:paraId="564D1B07">
                  <w:pPr>
                    <w:pStyle w:val="51"/>
                    <w:rPr>
                      <w:color w:val="auto"/>
                      <w:highlight w:val="none"/>
                    </w:rPr>
                  </w:pPr>
                  <w:r>
                    <w:rPr>
                      <w:color w:val="auto"/>
                      <w:highlight w:val="none"/>
                    </w:rPr>
                    <w:t>45</w:t>
                  </w:r>
                </w:p>
              </w:tc>
              <w:tc>
                <w:tcPr>
                  <w:tcW w:w="2217" w:type="pct"/>
                  <w:tcMar>
                    <w:left w:w="57" w:type="dxa"/>
                    <w:right w:w="57" w:type="dxa"/>
                  </w:tcMar>
                  <w:vAlign w:val="center"/>
                </w:tcPr>
                <w:p w14:paraId="6712C0C5">
                  <w:pPr>
                    <w:pStyle w:val="51"/>
                    <w:rPr>
                      <w:color w:val="auto"/>
                      <w:highlight w:val="none"/>
                    </w:rPr>
                  </w:pPr>
                  <w:r>
                    <w:rPr>
                      <w:rFonts w:hint="eastAsia"/>
                      <w:color w:val="auto"/>
                      <w:highlight w:val="none"/>
                    </w:rPr>
                    <w:t>《声环境质量标准》（GB3096-2008）</w:t>
                  </w:r>
                </w:p>
              </w:tc>
            </w:tr>
          </w:tbl>
          <w:p w14:paraId="4B5B3033">
            <w:pPr>
              <w:pStyle w:val="56"/>
              <w:ind w:firstLine="420"/>
              <w:rPr>
                <w:color w:val="auto"/>
                <w:highlight w:val="none"/>
              </w:rPr>
            </w:pPr>
            <w:r>
              <w:rPr>
                <w:rFonts w:hint="eastAsia"/>
                <w:color w:val="auto"/>
                <w:highlight w:val="none"/>
              </w:rPr>
              <w:t>3</w:t>
            </w:r>
            <w:r>
              <w:rPr>
                <w:color w:val="auto"/>
                <w:highlight w:val="none"/>
              </w:rPr>
              <w:t>、地表水环境质量标准</w:t>
            </w:r>
          </w:p>
          <w:p w14:paraId="0454F557">
            <w:pPr>
              <w:pStyle w:val="56"/>
              <w:ind w:firstLine="420"/>
              <w:rPr>
                <w:color w:val="auto"/>
                <w:highlight w:val="none"/>
              </w:rPr>
            </w:pPr>
            <w:r>
              <w:rPr>
                <w:color w:val="auto"/>
                <w:highlight w:val="none"/>
              </w:rPr>
              <w:t>评价区域地表水环境质量执行《地表水环境质量标准》（GB3838-2002）</w:t>
            </w:r>
            <w:r>
              <w:rPr>
                <w:rFonts w:hint="eastAsia"/>
                <w:color w:val="auto"/>
                <w:szCs w:val="21"/>
                <w:highlight w:val="none"/>
                <w:lang w:eastAsia="zh-CN"/>
              </w:rPr>
              <w:t>Ⅲ</w:t>
            </w:r>
            <w:r>
              <w:rPr>
                <w:color w:val="auto"/>
                <w:highlight w:val="none"/>
              </w:rPr>
              <w:t>类标准。具体标准限值见表</w:t>
            </w:r>
            <w:r>
              <w:rPr>
                <w:rFonts w:hint="eastAsia"/>
                <w:color w:val="auto"/>
                <w:highlight w:val="none"/>
                <w:lang w:val="en-US" w:eastAsia="zh-CN"/>
              </w:rPr>
              <w:t>3-11</w:t>
            </w:r>
            <w:r>
              <w:rPr>
                <w:color w:val="auto"/>
                <w:highlight w:val="none"/>
              </w:rPr>
              <w:t>。</w:t>
            </w:r>
          </w:p>
          <w:p w14:paraId="3C705CAB">
            <w:pPr>
              <w:pStyle w:val="104"/>
              <w:keepNext w:val="0"/>
              <w:keepLines w:val="0"/>
              <w:pageBreakBefore w:val="0"/>
              <w:widowControl/>
              <w:kinsoku/>
              <w:wordWrap/>
              <w:overflowPunct/>
              <w:topLinePunct w:val="0"/>
              <w:autoSpaceDE/>
              <w:autoSpaceDN/>
              <w:bidi w:val="0"/>
              <w:adjustRightInd/>
              <w:snapToGrid/>
              <w:spacing w:line="240" w:lineRule="auto"/>
              <w:textAlignment w:val="auto"/>
              <w:rPr>
                <w:rFonts w:ascii="Times New Roman" w:hAnsi="Times New Roman" w:eastAsia="黑体" w:cs="Times New Roman"/>
                <w:bCs w:val="0"/>
                <w:color w:val="auto"/>
                <w:kern w:val="0"/>
                <w:sz w:val="21"/>
                <w:szCs w:val="20"/>
                <w:highlight w:val="none"/>
                <w:lang w:val="en-US" w:eastAsia="zh-CN" w:bidi="ar-SA"/>
              </w:rPr>
            </w:pPr>
            <w:r>
              <w:rPr>
                <w:rFonts w:ascii="Times New Roman" w:hAnsi="Times New Roman" w:eastAsia="黑体" w:cs="Times New Roman"/>
                <w:bCs w:val="0"/>
                <w:color w:val="auto"/>
                <w:kern w:val="0"/>
                <w:sz w:val="21"/>
                <w:szCs w:val="20"/>
                <w:highlight w:val="none"/>
                <w:lang w:val="en-US" w:eastAsia="zh-CN" w:bidi="ar-SA"/>
              </w:rPr>
              <w:t>表3-</w:t>
            </w:r>
            <w:r>
              <w:rPr>
                <w:rFonts w:hint="eastAsia" w:ascii="Times New Roman" w:hAnsi="Times New Roman" w:cs="Times New Roman"/>
                <w:bCs w:val="0"/>
                <w:color w:val="auto"/>
                <w:kern w:val="0"/>
                <w:sz w:val="21"/>
                <w:szCs w:val="20"/>
                <w:highlight w:val="none"/>
                <w:lang w:val="en-US" w:eastAsia="zh-CN" w:bidi="ar-SA"/>
              </w:rPr>
              <w:t>11</w:t>
            </w:r>
            <w:r>
              <w:rPr>
                <w:rFonts w:ascii="Times New Roman" w:hAnsi="Times New Roman" w:eastAsia="黑体" w:cs="Times New Roman"/>
                <w:bCs w:val="0"/>
                <w:color w:val="auto"/>
                <w:kern w:val="0"/>
                <w:sz w:val="21"/>
                <w:szCs w:val="20"/>
                <w:highlight w:val="none"/>
                <w:lang w:val="en-US" w:eastAsia="zh-CN" w:bidi="ar-SA"/>
              </w:rPr>
              <w:t xml:space="preserve"> 地表水环境质量标准（摘录）</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04"/>
              <w:gridCol w:w="1379"/>
              <w:gridCol w:w="1622"/>
              <w:gridCol w:w="1849"/>
            </w:tblGrid>
            <w:tr w14:paraId="542F37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27D5C824">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w:t>
                  </w:r>
                </w:p>
              </w:tc>
              <w:tc>
                <w:tcPr>
                  <w:tcW w:w="1379" w:type="dxa"/>
                  <w:noWrap w:val="0"/>
                  <w:vAlign w:val="center"/>
                </w:tcPr>
                <w:p w14:paraId="406BF4DE">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单位</w:t>
                  </w:r>
                </w:p>
              </w:tc>
              <w:tc>
                <w:tcPr>
                  <w:tcW w:w="1622" w:type="dxa"/>
                  <w:tcBorders>
                    <w:left w:val="single" w:color="auto" w:sz="8" w:space="0"/>
                    <w:right w:val="single" w:color="auto" w:sz="4" w:space="0"/>
                  </w:tcBorders>
                  <w:noWrap w:val="0"/>
                  <w:vAlign w:val="center"/>
                </w:tcPr>
                <w:p w14:paraId="014AA43E">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Ⅲ类</w:t>
                  </w:r>
                </w:p>
              </w:tc>
              <w:tc>
                <w:tcPr>
                  <w:tcW w:w="1849" w:type="dxa"/>
                  <w:tcBorders>
                    <w:left w:val="single" w:color="auto" w:sz="4" w:space="0"/>
                  </w:tcBorders>
                  <w:noWrap w:val="0"/>
                  <w:vAlign w:val="center"/>
                </w:tcPr>
                <w:p w14:paraId="4349495B">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标准来源</w:t>
                  </w:r>
                </w:p>
              </w:tc>
            </w:tr>
            <w:tr w14:paraId="630B8C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3752BC4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5"/>
                      <w:sz w:val="18"/>
                      <w:szCs w:val="18"/>
                      <w:highlight w:val="none"/>
                    </w:rPr>
                    <w:t>pH</w:t>
                  </w:r>
                </w:p>
              </w:tc>
              <w:tc>
                <w:tcPr>
                  <w:tcW w:w="1379" w:type="dxa"/>
                  <w:noWrap w:val="0"/>
                  <w:vAlign w:val="center"/>
                </w:tcPr>
                <w:p w14:paraId="4B004DA8">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无量纲</w:t>
                  </w:r>
                </w:p>
              </w:tc>
              <w:tc>
                <w:tcPr>
                  <w:tcW w:w="1622" w:type="dxa"/>
                  <w:tcBorders>
                    <w:left w:val="single" w:color="auto" w:sz="4" w:space="0"/>
                    <w:right w:val="single" w:color="auto" w:sz="4" w:space="0"/>
                  </w:tcBorders>
                  <w:noWrap w:val="0"/>
                  <w:vAlign w:val="center"/>
                </w:tcPr>
                <w:p w14:paraId="0BC8EAA1">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6-9</w:t>
                  </w:r>
                </w:p>
              </w:tc>
              <w:tc>
                <w:tcPr>
                  <w:tcW w:w="1849" w:type="dxa"/>
                  <w:vMerge w:val="restart"/>
                  <w:tcBorders>
                    <w:left w:val="single" w:color="auto" w:sz="4" w:space="0"/>
                  </w:tcBorders>
                  <w:noWrap w:val="0"/>
                  <w:vAlign w:val="center"/>
                </w:tcPr>
                <w:p w14:paraId="29F6FB1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《地表水环境质量标准》</w:t>
                  </w:r>
                </w:p>
                <w:p w14:paraId="29D8A985">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（GB3838-2002）</w:t>
                  </w:r>
                </w:p>
              </w:tc>
            </w:tr>
            <w:tr w14:paraId="300DC2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2D85F630">
                  <w:pPr>
                    <w:jc w:val="center"/>
                    <w:rPr>
                      <w:rFonts w:hint="default" w:ascii="Times New Roman" w:hAnsi="Times New Roman" w:cs="Times New Roman"/>
                      <w:color w:val="auto"/>
                      <w:spacing w:val="5"/>
                      <w:sz w:val="18"/>
                      <w:szCs w:val="18"/>
                      <w:highlight w:val="none"/>
                    </w:rPr>
                  </w:pPr>
                  <w:r>
                    <w:rPr>
                      <w:rFonts w:hint="default" w:ascii="Times New Roman" w:hAnsi="Times New Roman" w:cs="Times New Roman"/>
                      <w:color w:val="auto"/>
                      <w:spacing w:val="5"/>
                      <w:sz w:val="18"/>
                      <w:szCs w:val="18"/>
                      <w:highlight w:val="none"/>
                    </w:rPr>
                    <w:t>溶解氧</w:t>
                  </w:r>
                </w:p>
              </w:tc>
              <w:tc>
                <w:tcPr>
                  <w:tcW w:w="1379" w:type="dxa"/>
                  <w:noWrap w:val="0"/>
                  <w:vAlign w:val="center"/>
                </w:tcPr>
                <w:p w14:paraId="5FADF68F">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4" w:space="0"/>
                    <w:right w:val="single" w:color="auto" w:sz="4" w:space="0"/>
                  </w:tcBorders>
                  <w:noWrap w:val="0"/>
                  <w:vAlign w:val="center"/>
                </w:tcPr>
                <w:p w14:paraId="69355898">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w:t>
                  </w:r>
                </w:p>
              </w:tc>
              <w:tc>
                <w:tcPr>
                  <w:tcW w:w="1849" w:type="dxa"/>
                  <w:vMerge w:val="continue"/>
                  <w:tcBorders>
                    <w:left w:val="single" w:color="auto" w:sz="4" w:space="0"/>
                  </w:tcBorders>
                  <w:noWrap w:val="0"/>
                  <w:vAlign w:val="center"/>
                </w:tcPr>
                <w:p w14:paraId="727D6645">
                  <w:pPr>
                    <w:pStyle w:val="104"/>
                    <w:rPr>
                      <w:rFonts w:hint="default" w:ascii="Times New Roman" w:hAnsi="Times New Roman" w:cs="Times New Roman"/>
                      <w:color w:val="auto"/>
                      <w:sz w:val="18"/>
                      <w:szCs w:val="18"/>
                      <w:highlight w:val="none"/>
                    </w:rPr>
                  </w:pPr>
                </w:p>
              </w:tc>
            </w:tr>
            <w:tr w14:paraId="4D5917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37C26AF6">
                  <w:pPr>
                    <w:jc w:val="center"/>
                    <w:rPr>
                      <w:rFonts w:hint="default" w:ascii="Times New Roman" w:hAnsi="Times New Roman" w:cs="Times New Roman"/>
                      <w:color w:val="auto"/>
                      <w:spacing w:val="5"/>
                      <w:sz w:val="18"/>
                      <w:szCs w:val="18"/>
                      <w:highlight w:val="none"/>
                    </w:rPr>
                  </w:pPr>
                  <w:r>
                    <w:rPr>
                      <w:rFonts w:hint="default" w:ascii="Times New Roman" w:hAnsi="Times New Roman" w:cs="Times New Roman"/>
                      <w:color w:val="auto"/>
                      <w:spacing w:val="5"/>
                      <w:sz w:val="18"/>
                      <w:szCs w:val="18"/>
                      <w:highlight w:val="none"/>
                    </w:rPr>
                    <w:t>高锰酸盐指数</w:t>
                  </w:r>
                </w:p>
              </w:tc>
              <w:tc>
                <w:tcPr>
                  <w:tcW w:w="1379" w:type="dxa"/>
                  <w:noWrap w:val="0"/>
                  <w:vAlign w:val="center"/>
                </w:tcPr>
                <w:p w14:paraId="1617FD87">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8" w:space="0"/>
                    <w:right w:val="single" w:color="auto" w:sz="4" w:space="0"/>
                  </w:tcBorders>
                  <w:noWrap w:val="0"/>
                  <w:vAlign w:val="center"/>
                </w:tcPr>
                <w:p w14:paraId="23FAF895">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pacing w:val="5"/>
                      <w:sz w:val="18"/>
                      <w:szCs w:val="18"/>
                      <w:highlight w:val="none"/>
                    </w:rPr>
                    <w:t>≤6</w:t>
                  </w:r>
                </w:p>
              </w:tc>
              <w:tc>
                <w:tcPr>
                  <w:tcW w:w="1849" w:type="dxa"/>
                  <w:vMerge w:val="continue"/>
                  <w:tcBorders>
                    <w:left w:val="single" w:color="auto" w:sz="4" w:space="0"/>
                  </w:tcBorders>
                  <w:noWrap w:val="0"/>
                  <w:vAlign w:val="center"/>
                </w:tcPr>
                <w:p w14:paraId="18D39C3D">
                  <w:pPr>
                    <w:pStyle w:val="104"/>
                    <w:rPr>
                      <w:rFonts w:hint="default" w:ascii="Times New Roman" w:hAnsi="Times New Roman" w:cs="Times New Roman"/>
                      <w:color w:val="auto"/>
                      <w:sz w:val="18"/>
                      <w:szCs w:val="18"/>
                      <w:highlight w:val="none"/>
                    </w:rPr>
                  </w:pPr>
                </w:p>
              </w:tc>
            </w:tr>
            <w:tr w14:paraId="366CC4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229BBC0A">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5"/>
                      <w:sz w:val="18"/>
                      <w:szCs w:val="18"/>
                      <w:highlight w:val="none"/>
                    </w:rPr>
                    <w:t>COD</w:t>
                  </w:r>
                </w:p>
              </w:tc>
              <w:tc>
                <w:tcPr>
                  <w:tcW w:w="1379" w:type="dxa"/>
                  <w:noWrap w:val="0"/>
                  <w:vAlign w:val="center"/>
                </w:tcPr>
                <w:p w14:paraId="0F9DFF23">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8" w:space="0"/>
                    <w:right w:val="single" w:color="auto" w:sz="4" w:space="0"/>
                  </w:tcBorders>
                  <w:noWrap w:val="0"/>
                  <w:vAlign w:val="center"/>
                </w:tcPr>
                <w:p w14:paraId="3556E4B0">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pacing w:val="5"/>
                      <w:sz w:val="18"/>
                      <w:szCs w:val="18"/>
                      <w:highlight w:val="none"/>
                    </w:rPr>
                    <w:t>≤20</w:t>
                  </w:r>
                </w:p>
              </w:tc>
              <w:tc>
                <w:tcPr>
                  <w:tcW w:w="1849" w:type="dxa"/>
                  <w:vMerge w:val="continue"/>
                  <w:tcBorders>
                    <w:left w:val="single" w:color="auto" w:sz="4" w:space="0"/>
                  </w:tcBorders>
                  <w:noWrap w:val="0"/>
                  <w:vAlign w:val="center"/>
                </w:tcPr>
                <w:p w14:paraId="0C13C8E0">
                  <w:pPr>
                    <w:pStyle w:val="104"/>
                    <w:spacing w:line="240" w:lineRule="auto"/>
                    <w:rPr>
                      <w:rFonts w:hint="default" w:ascii="Times New Roman" w:hAnsi="Times New Roman" w:eastAsia="宋体" w:cs="Times New Roman"/>
                      <w:color w:val="auto"/>
                      <w:sz w:val="18"/>
                      <w:szCs w:val="18"/>
                      <w:highlight w:val="none"/>
                    </w:rPr>
                  </w:pPr>
                </w:p>
              </w:tc>
            </w:tr>
            <w:tr w14:paraId="5DEA4C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2F8323DD">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BOD</w:t>
                  </w:r>
                  <w:r>
                    <w:rPr>
                      <w:rFonts w:hint="default" w:ascii="Times New Roman" w:hAnsi="Times New Roman" w:eastAsia="宋体" w:cs="Times New Roman"/>
                      <w:color w:val="auto"/>
                      <w:sz w:val="18"/>
                      <w:szCs w:val="18"/>
                      <w:highlight w:val="none"/>
                      <w:vertAlign w:val="subscript"/>
                    </w:rPr>
                    <w:t>5</w:t>
                  </w:r>
                </w:p>
              </w:tc>
              <w:tc>
                <w:tcPr>
                  <w:tcW w:w="1379" w:type="dxa"/>
                  <w:noWrap w:val="0"/>
                  <w:vAlign w:val="center"/>
                </w:tcPr>
                <w:p w14:paraId="7289744C">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8" w:space="0"/>
                    <w:right w:val="single" w:color="auto" w:sz="4" w:space="0"/>
                  </w:tcBorders>
                  <w:noWrap w:val="0"/>
                  <w:vAlign w:val="center"/>
                </w:tcPr>
                <w:p w14:paraId="18DDFA6B">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pacing w:val="5"/>
                      <w:sz w:val="18"/>
                      <w:szCs w:val="18"/>
                      <w:highlight w:val="none"/>
                    </w:rPr>
                    <w:t>≤4</w:t>
                  </w:r>
                </w:p>
              </w:tc>
              <w:tc>
                <w:tcPr>
                  <w:tcW w:w="1849" w:type="dxa"/>
                  <w:vMerge w:val="continue"/>
                  <w:tcBorders>
                    <w:left w:val="single" w:color="auto" w:sz="4" w:space="0"/>
                  </w:tcBorders>
                  <w:noWrap w:val="0"/>
                  <w:vAlign w:val="center"/>
                </w:tcPr>
                <w:p w14:paraId="33377AC6">
                  <w:pPr>
                    <w:pStyle w:val="104"/>
                    <w:spacing w:line="240" w:lineRule="auto"/>
                    <w:rPr>
                      <w:rFonts w:hint="default" w:ascii="Times New Roman" w:hAnsi="Times New Roman" w:eastAsia="宋体" w:cs="Times New Roman"/>
                      <w:color w:val="auto"/>
                      <w:sz w:val="18"/>
                      <w:szCs w:val="18"/>
                      <w:highlight w:val="none"/>
                    </w:rPr>
                  </w:pPr>
                </w:p>
              </w:tc>
            </w:tr>
            <w:tr w14:paraId="603D81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748801FA">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5"/>
                      <w:sz w:val="18"/>
                      <w:szCs w:val="18"/>
                      <w:highlight w:val="none"/>
                    </w:rPr>
                    <w:t>NH</w:t>
                  </w:r>
                  <w:r>
                    <w:rPr>
                      <w:rFonts w:hint="default" w:ascii="Times New Roman" w:hAnsi="Times New Roman" w:eastAsia="宋体" w:cs="Times New Roman"/>
                      <w:color w:val="auto"/>
                      <w:spacing w:val="5"/>
                      <w:sz w:val="18"/>
                      <w:szCs w:val="18"/>
                      <w:highlight w:val="none"/>
                      <w:vertAlign w:val="subscript"/>
                    </w:rPr>
                    <w:t>3</w:t>
                  </w:r>
                  <w:r>
                    <w:rPr>
                      <w:rFonts w:hint="default" w:ascii="Times New Roman" w:hAnsi="Times New Roman" w:eastAsia="宋体" w:cs="Times New Roman"/>
                      <w:color w:val="auto"/>
                      <w:spacing w:val="5"/>
                      <w:sz w:val="18"/>
                      <w:szCs w:val="18"/>
                      <w:highlight w:val="none"/>
                    </w:rPr>
                    <w:t>-N</w:t>
                  </w:r>
                </w:p>
              </w:tc>
              <w:tc>
                <w:tcPr>
                  <w:tcW w:w="1379" w:type="dxa"/>
                  <w:noWrap w:val="0"/>
                  <w:vAlign w:val="center"/>
                </w:tcPr>
                <w:p w14:paraId="7E62B241">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8" w:space="0"/>
                    <w:right w:val="single" w:color="auto" w:sz="4" w:space="0"/>
                  </w:tcBorders>
                  <w:noWrap w:val="0"/>
                  <w:vAlign w:val="center"/>
                </w:tcPr>
                <w:p w14:paraId="43482654">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pacing w:val="5"/>
                      <w:sz w:val="18"/>
                      <w:szCs w:val="18"/>
                      <w:highlight w:val="none"/>
                    </w:rPr>
                    <w:t>≤1.0</w:t>
                  </w:r>
                </w:p>
              </w:tc>
              <w:tc>
                <w:tcPr>
                  <w:tcW w:w="1849" w:type="dxa"/>
                  <w:vMerge w:val="continue"/>
                  <w:tcBorders>
                    <w:left w:val="single" w:color="auto" w:sz="4" w:space="0"/>
                  </w:tcBorders>
                  <w:noWrap w:val="0"/>
                  <w:vAlign w:val="center"/>
                </w:tcPr>
                <w:p w14:paraId="123B1666">
                  <w:pPr>
                    <w:pStyle w:val="104"/>
                    <w:spacing w:line="240" w:lineRule="auto"/>
                    <w:rPr>
                      <w:rFonts w:hint="default" w:ascii="Times New Roman" w:hAnsi="Times New Roman" w:eastAsia="宋体" w:cs="Times New Roman"/>
                      <w:color w:val="auto"/>
                      <w:sz w:val="18"/>
                      <w:szCs w:val="18"/>
                      <w:highlight w:val="none"/>
                    </w:rPr>
                  </w:pPr>
                </w:p>
              </w:tc>
            </w:tr>
            <w:tr w14:paraId="71824B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18A2E615">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总磷</w:t>
                  </w:r>
                </w:p>
              </w:tc>
              <w:tc>
                <w:tcPr>
                  <w:tcW w:w="1379" w:type="dxa"/>
                  <w:noWrap w:val="0"/>
                  <w:vAlign w:val="center"/>
                </w:tcPr>
                <w:p w14:paraId="15AD3AD3">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8" w:space="0"/>
                    <w:right w:val="single" w:color="auto" w:sz="4" w:space="0"/>
                  </w:tcBorders>
                  <w:noWrap w:val="0"/>
                  <w:vAlign w:val="center"/>
                </w:tcPr>
                <w:p w14:paraId="0FA2E733">
                  <w:pPr>
                    <w:pStyle w:val="104"/>
                    <w:spacing w:line="240" w:lineRule="auto"/>
                    <w:rPr>
                      <w:rFonts w:hint="default" w:ascii="Times New Roman" w:hAnsi="Times New Roman" w:cs="Times New Roman"/>
                      <w:color w:val="auto"/>
                      <w:spacing w:val="5"/>
                      <w:sz w:val="18"/>
                      <w:szCs w:val="18"/>
                      <w:highlight w:val="none"/>
                    </w:rPr>
                  </w:pPr>
                  <w:r>
                    <w:rPr>
                      <w:rFonts w:hint="default" w:ascii="Times New Roman" w:hAnsi="Times New Roman" w:cs="Times New Roman"/>
                      <w:color w:val="auto"/>
                      <w:spacing w:val="5"/>
                      <w:sz w:val="18"/>
                      <w:szCs w:val="18"/>
                      <w:highlight w:val="none"/>
                    </w:rPr>
                    <w:t>≤0.2</w:t>
                  </w:r>
                </w:p>
              </w:tc>
              <w:tc>
                <w:tcPr>
                  <w:tcW w:w="1849" w:type="dxa"/>
                  <w:vMerge w:val="continue"/>
                  <w:tcBorders>
                    <w:left w:val="single" w:color="auto" w:sz="4" w:space="0"/>
                  </w:tcBorders>
                  <w:noWrap w:val="0"/>
                  <w:vAlign w:val="center"/>
                </w:tcPr>
                <w:p w14:paraId="04813472">
                  <w:pPr>
                    <w:pStyle w:val="104"/>
                    <w:spacing w:line="240" w:lineRule="auto"/>
                    <w:rPr>
                      <w:rFonts w:hint="default" w:ascii="Times New Roman" w:hAnsi="Times New Roman" w:eastAsia="宋体" w:cs="Times New Roman"/>
                      <w:color w:val="auto"/>
                      <w:sz w:val="18"/>
                      <w:szCs w:val="18"/>
                      <w:highlight w:val="none"/>
                    </w:rPr>
                  </w:pPr>
                </w:p>
              </w:tc>
            </w:tr>
            <w:tr w14:paraId="07ADF5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04" w:type="dxa"/>
                  <w:noWrap w:val="0"/>
                  <w:vAlign w:val="center"/>
                </w:tcPr>
                <w:p w14:paraId="46D27642">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总氮</w:t>
                  </w:r>
                </w:p>
              </w:tc>
              <w:tc>
                <w:tcPr>
                  <w:tcW w:w="1379" w:type="dxa"/>
                  <w:noWrap w:val="0"/>
                  <w:vAlign w:val="center"/>
                </w:tcPr>
                <w:p w14:paraId="20130C1D">
                  <w:pPr>
                    <w:pStyle w:val="104"/>
                    <w:spacing w:line="240" w:lineRule="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mg/L</w:t>
                  </w:r>
                </w:p>
              </w:tc>
              <w:tc>
                <w:tcPr>
                  <w:tcW w:w="1622" w:type="dxa"/>
                  <w:tcBorders>
                    <w:left w:val="single" w:color="auto" w:sz="8" w:space="0"/>
                    <w:right w:val="single" w:color="auto" w:sz="4" w:space="0"/>
                  </w:tcBorders>
                  <w:noWrap w:val="0"/>
                  <w:vAlign w:val="center"/>
                </w:tcPr>
                <w:p w14:paraId="7AEFAA85">
                  <w:pPr>
                    <w:pStyle w:val="104"/>
                    <w:spacing w:line="240" w:lineRule="auto"/>
                    <w:rPr>
                      <w:rFonts w:hint="default" w:ascii="Times New Roman" w:hAnsi="Times New Roman" w:cs="Times New Roman"/>
                      <w:color w:val="auto"/>
                      <w:spacing w:val="5"/>
                      <w:sz w:val="18"/>
                      <w:szCs w:val="18"/>
                      <w:highlight w:val="none"/>
                    </w:rPr>
                  </w:pPr>
                  <w:r>
                    <w:rPr>
                      <w:rFonts w:hint="default" w:ascii="Times New Roman" w:hAnsi="Times New Roman" w:cs="Times New Roman"/>
                      <w:color w:val="auto"/>
                      <w:spacing w:val="5"/>
                      <w:sz w:val="18"/>
                      <w:szCs w:val="18"/>
                      <w:highlight w:val="none"/>
                    </w:rPr>
                    <w:t>≤</w:t>
                  </w:r>
                  <w:r>
                    <w:rPr>
                      <w:rFonts w:hint="default" w:ascii="Times New Roman" w:hAnsi="Times New Roman" w:eastAsia="宋体" w:cs="Times New Roman"/>
                      <w:color w:val="auto"/>
                      <w:spacing w:val="5"/>
                      <w:sz w:val="18"/>
                      <w:szCs w:val="18"/>
                      <w:highlight w:val="none"/>
                    </w:rPr>
                    <w:t>1.0</w:t>
                  </w:r>
                </w:p>
              </w:tc>
              <w:tc>
                <w:tcPr>
                  <w:tcW w:w="1849" w:type="dxa"/>
                  <w:vMerge w:val="continue"/>
                  <w:tcBorders>
                    <w:left w:val="single" w:color="auto" w:sz="4" w:space="0"/>
                  </w:tcBorders>
                  <w:noWrap w:val="0"/>
                  <w:vAlign w:val="center"/>
                </w:tcPr>
                <w:p w14:paraId="35B8D51F">
                  <w:pPr>
                    <w:pStyle w:val="104"/>
                    <w:spacing w:line="240" w:lineRule="auto"/>
                    <w:rPr>
                      <w:rFonts w:hint="default" w:ascii="Times New Roman" w:hAnsi="Times New Roman" w:eastAsia="宋体" w:cs="Times New Roman"/>
                      <w:color w:val="auto"/>
                      <w:sz w:val="18"/>
                      <w:szCs w:val="18"/>
                      <w:highlight w:val="none"/>
                    </w:rPr>
                  </w:pPr>
                </w:p>
              </w:tc>
            </w:tr>
          </w:tbl>
          <w:p w14:paraId="3BDE063C">
            <w:pPr>
              <w:pStyle w:val="56"/>
              <w:ind w:firstLine="420"/>
              <w:rPr>
                <w:color w:val="auto"/>
                <w:highlight w:val="none"/>
              </w:rPr>
            </w:pPr>
            <w:r>
              <w:rPr>
                <w:rFonts w:hint="eastAsia"/>
                <w:color w:val="auto"/>
                <w:highlight w:val="none"/>
              </w:rPr>
              <w:t>二、污染物排放标准</w:t>
            </w:r>
          </w:p>
          <w:p w14:paraId="4FA1F6A6">
            <w:pPr>
              <w:pStyle w:val="56"/>
              <w:ind w:firstLine="420"/>
              <w:rPr>
                <w:color w:val="auto"/>
                <w:highlight w:val="none"/>
              </w:rPr>
            </w:pPr>
            <w:r>
              <w:rPr>
                <w:color w:val="auto"/>
                <w:highlight w:val="none"/>
              </w:rPr>
              <w:t>1、废气</w:t>
            </w:r>
          </w:p>
          <w:p w14:paraId="138029C1">
            <w:pPr>
              <w:pStyle w:val="56"/>
              <w:ind w:firstLine="420"/>
              <w:rPr>
                <w:color w:val="auto"/>
                <w:highlight w:val="none"/>
              </w:rPr>
            </w:pPr>
            <w:r>
              <w:rPr>
                <w:color w:val="auto"/>
                <w:highlight w:val="none"/>
              </w:rPr>
              <w:t>本工程施工期产生的粉尘排放</w:t>
            </w:r>
            <w:r>
              <w:rPr>
                <w:rFonts w:hint="eastAsia"/>
                <w:color w:val="auto"/>
                <w:highlight w:val="none"/>
              </w:rPr>
              <w:t>浓度</w:t>
            </w:r>
            <w:r>
              <w:rPr>
                <w:color w:val="auto"/>
                <w:highlight w:val="none"/>
              </w:rPr>
              <w:t>执行《大气污染物综合排放标准》(GB16297-1996)表2中无组织排放监控浓度限值</w:t>
            </w:r>
            <w:r>
              <w:rPr>
                <w:rFonts w:hint="eastAsia"/>
                <w:color w:val="auto"/>
                <w:highlight w:val="none"/>
              </w:rPr>
              <w:t>，</w:t>
            </w:r>
            <w:r>
              <w:rPr>
                <w:color w:val="auto"/>
                <w:highlight w:val="none"/>
              </w:rPr>
              <w:t>见</w:t>
            </w:r>
            <w:r>
              <w:rPr>
                <w:rFonts w:hint="eastAsia"/>
                <w:color w:val="auto"/>
                <w:highlight w:val="none"/>
              </w:rPr>
              <w:t>下表。</w:t>
            </w:r>
          </w:p>
          <w:p w14:paraId="36CE96B9">
            <w:pPr>
              <w:pStyle w:val="55"/>
              <w:rPr>
                <w:color w:val="auto"/>
                <w:szCs w:val="24"/>
                <w:highlight w:val="none"/>
              </w:rPr>
            </w:pPr>
            <w:r>
              <w:rPr>
                <w:bCs/>
                <w:color w:val="auto"/>
                <w:szCs w:val="24"/>
                <w:highlight w:val="none"/>
              </w:rPr>
              <w:t>表3-</w:t>
            </w:r>
            <w:r>
              <w:rPr>
                <w:rFonts w:hint="eastAsia"/>
                <w:bCs/>
                <w:color w:val="auto"/>
                <w:szCs w:val="24"/>
                <w:highlight w:val="none"/>
                <w:lang w:val="en-US" w:eastAsia="zh-CN"/>
              </w:rPr>
              <w:t>12</w:t>
            </w:r>
            <w:r>
              <w:rPr>
                <w:bCs/>
                <w:color w:val="auto"/>
                <w:szCs w:val="24"/>
                <w:highlight w:val="none"/>
              </w:rPr>
              <w:t xml:space="preserve"> </w:t>
            </w:r>
            <w:r>
              <w:rPr>
                <w:color w:val="auto"/>
                <w:highlight w:val="none"/>
              </w:rPr>
              <w:t>《大气污染物综合排放标准》(GB16297-1996)</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3017"/>
              <w:gridCol w:w="2088"/>
              <w:gridCol w:w="2190"/>
            </w:tblGrid>
            <w:tr w14:paraId="3A649B9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50" w:hRule="atLeast"/>
              </w:trPr>
              <w:tc>
                <w:tcPr>
                  <w:tcW w:w="2931" w:type="dxa"/>
                  <w:vMerge w:val="restart"/>
                  <w:tcBorders>
                    <w:tl2br w:val="nil"/>
                    <w:tr2bl w:val="nil"/>
                  </w:tcBorders>
                  <w:vAlign w:val="center"/>
                </w:tcPr>
                <w:p w14:paraId="2E79073B">
                  <w:pPr>
                    <w:pStyle w:val="51"/>
                    <w:rPr>
                      <w:color w:val="auto"/>
                      <w:highlight w:val="none"/>
                    </w:rPr>
                  </w:pPr>
                  <w:r>
                    <w:rPr>
                      <w:rFonts w:hint="eastAsia"/>
                      <w:color w:val="auto"/>
                      <w:highlight w:val="none"/>
                    </w:rPr>
                    <w:t>污染物</w:t>
                  </w:r>
                </w:p>
              </w:tc>
              <w:tc>
                <w:tcPr>
                  <w:tcW w:w="4156" w:type="dxa"/>
                  <w:gridSpan w:val="2"/>
                  <w:tcBorders>
                    <w:tl2br w:val="nil"/>
                    <w:tr2bl w:val="nil"/>
                  </w:tcBorders>
                  <w:vAlign w:val="center"/>
                </w:tcPr>
                <w:p w14:paraId="74173BF8">
                  <w:pPr>
                    <w:pStyle w:val="51"/>
                    <w:rPr>
                      <w:color w:val="auto"/>
                      <w:highlight w:val="none"/>
                    </w:rPr>
                  </w:pPr>
                  <w:r>
                    <w:rPr>
                      <w:rFonts w:hint="eastAsia"/>
                      <w:color w:val="auto"/>
                      <w:highlight w:val="none"/>
                    </w:rPr>
                    <w:t>无组织排放监控浓度限值</w:t>
                  </w:r>
                </w:p>
              </w:tc>
            </w:tr>
            <w:tr w14:paraId="09B5BE9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55" w:hRule="atLeast"/>
              </w:trPr>
              <w:tc>
                <w:tcPr>
                  <w:tcW w:w="2931" w:type="dxa"/>
                  <w:vMerge w:val="continue"/>
                  <w:tcBorders>
                    <w:tl2br w:val="nil"/>
                    <w:tr2bl w:val="nil"/>
                  </w:tcBorders>
                  <w:vAlign w:val="center"/>
                </w:tcPr>
                <w:p w14:paraId="40B2E66C">
                  <w:pPr>
                    <w:pStyle w:val="51"/>
                    <w:rPr>
                      <w:color w:val="auto"/>
                      <w:highlight w:val="none"/>
                    </w:rPr>
                  </w:pPr>
                </w:p>
              </w:tc>
              <w:tc>
                <w:tcPr>
                  <w:tcW w:w="2028" w:type="dxa"/>
                  <w:tcBorders>
                    <w:tl2br w:val="nil"/>
                    <w:tr2bl w:val="nil"/>
                  </w:tcBorders>
                  <w:vAlign w:val="center"/>
                </w:tcPr>
                <w:p w14:paraId="2A3E97E6">
                  <w:pPr>
                    <w:pStyle w:val="51"/>
                    <w:rPr>
                      <w:color w:val="auto"/>
                      <w:highlight w:val="none"/>
                    </w:rPr>
                  </w:pPr>
                  <w:r>
                    <w:rPr>
                      <w:rFonts w:hint="eastAsia"/>
                      <w:color w:val="auto"/>
                      <w:highlight w:val="none"/>
                    </w:rPr>
                    <w:t>监控点</w:t>
                  </w:r>
                </w:p>
              </w:tc>
              <w:tc>
                <w:tcPr>
                  <w:tcW w:w="2128" w:type="dxa"/>
                  <w:tcBorders>
                    <w:tl2br w:val="nil"/>
                    <w:tr2bl w:val="nil"/>
                  </w:tcBorders>
                  <w:vAlign w:val="center"/>
                </w:tcPr>
                <w:p w14:paraId="3E562427">
                  <w:pPr>
                    <w:pStyle w:val="51"/>
                    <w:rPr>
                      <w:color w:val="auto"/>
                      <w:highlight w:val="none"/>
                    </w:rPr>
                  </w:pPr>
                  <w:r>
                    <w:rPr>
                      <w:rFonts w:hint="eastAsia"/>
                      <w:color w:val="auto"/>
                      <w:highlight w:val="none"/>
                    </w:rPr>
                    <w:t>浓度（mg</w:t>
                  </w:r>
                  <w:r>
                    <w:rPr>
                      <w:color w:val="auto"/>
                      <w:highlight w:val="none"/>
                    </w:rPr>
                    <w:t>/m</w:t>
                  </w:r>
                  <w:r>
                    <w:rPr>
                      <w:color w:val="auto"/>
                      <w:highlight w:val="none"/>
                      <w:vertAlign w:val="superscript"/>
                    </w:rPr>
                    <w:t>3</w:t>
                  </w:r>
                  <w:r>
                    <w:rPr>
                      <w:rFonts w:hint="eastAsia"/>
                      <w:color w:val="auto"/>
                      <w:highlight w:val="none"/>
                    </w:rPr>
                    <w:t>）</w:t>
                  </w:r>
                </w:p>
              </w:tc>
            </w:tr>
            <w:tr w14:paraId="11727AC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c>
                <w:tcPr>
                  <w:tcW w:w="2931" w:type="dxa"/>
                  <w:tcBorders>
                    <w:tl2br w:val="nil"/>
                    <w:tr2bl w:val="nil"/>
                  </w:tcBorders>
                  <w:vAlign w:val="center"/>
                </w:tcPr>
                <w:p w14:paraId="1C5D7934">
                  <w:pPr>
                    <w:pStyle w:val="51"/>
                    <w:rPr>
                      <w:color w:val="auto"/>
                      <w:highlight w:val="none"/>
                    </w:rPr>
                  </w:pPr>
                  <w:r>
                    <w:rPr>
                      <w:rFonts w:hint="eastAsia"/>
                      <w:color w:val="auto"/>
                      <w:highlight w:val="none"/>
                    </w:rPr>
                    <w:t>颗粒物</w:t>
                  </w:r>
                </w:p>
              </w:tc>
              <w:tc>
                <w:tcPr>
                  <w:tcW w:w="2028" w:type="dxa"/>
                  <w:tcBorders>
                    <w:tl2br w:val="nil"/>
                    <w:tr2bl w:val="nil"/>
                  </w:tcBorders>
                  <w:vAlign w:val="center"/>
                </w:tcPr>
                <w:p w14:paraId="48FF8B45">
                  <w:pPr>
                    <w:pStyle w:val="51"/>
                    <w:rPr>
                      <w:color w:val="auto"/>
                      <w:highlight w:val="none"/>
                    </w:rPr>
                  </w:pPr>
                  <w:r>
                    <w:rPr>
                      <w:rFonts w:hint="eastAsia"/>
                      <w:color w:val="auto"/>
                      <w:highlight w:val="none"/>
                    </w:rPr>
                    <w:t>周界外浓度最高点</w:t>
                  </w:r>
                </w:p>
              </w:tc>
              <w:tc>
                <w:tcPr>
                  <w:tcW w:w="2128" w:type="dxa"/>
                  <w:tcBorders>
                    <w:tl2br w:val="nil"/>
                    <w:tr2bl w:val="nil"/>
                  </w:tcBorders>
                  <w:vAlign w:val="center"/>
                </w:tcPr>
                <w:p w14:paraId="0E8EA592">
                  <w:pPr>
                    <w:pStyle w:val="51"/>
                    <w:rPr>
                      <w:color w:val="auto"/>
                      <w:highlight w:val="none"/>
                    </w:rPr>
                  </w:pPr>
                  <w:r>
                    <w:rPr>
                      <w:rFonts w:hint="eastAsia"/>
                      <w:color w:val="auto"/>
                      <w:highlight w:val="none"/>
                    </w:rPr>
                    <w:t>1</w:t>
                  </w:r>
                  <w:r>
                    <w:rPr>
                      <w:color w:val="auto"/>
                      <w:highlight w:val="none"/>
                    </w:rPr>
                    <w:t>.0</w:t>
                  </w:r>
                </w:p>
              </w:tc>
            </w:tr>
          </w:tbl>
          <w:p w14:paraId="6FDDDD1E">
            <w:pPr>
              <w:pStyle w:val="56"/>
              <w:ind w:firstLine="420"/>
              <w:rPr>
                <w:color w:val="auto"/>
                <w:highlight w:val="none"/>
              </w:rPr>
            </w:pPr>
            <w:r>
              <w:rPr>
                <w:rFonts w:hint="eastAsia"/>
                <w:color w:val="auto"/>
                <w:highlight w:val="none"/>
              </w:rPr>
              <w:t>2、废水</w:t>
            </w:r>
          </w:p>
          <w:p w14:paraId="2D78AF27">
            <w:pPr>
              <w:pStyle w:val="56"/>
              <w:ind w:firstLine="420"/>
              <w:rPr>
                <w:color w:val="auto"/>
                <w:highlight w:val="none"/>
              </w:rPr>
            </w:pPr>
            <w:r>
              <w:rPr>
                <w:rFonts w:hint="eastAsia"/>
                <w:color w:val="auto"/>
                <w:highlight w:val="none"/>
              </w:rPr>
              <w:t>本项目施工期生活污水不外排，不涉及废水排放标准。</w:t>
            </w:r>
          </w:p>
          <w:p w14:paraId="09E42A56">
            <w:pPr>
              <w:pStyle w:val="56"/>
              <w:ind w:firstLine="420"/>
              <w:rPr>
                <w:color w:val="auto"/>
                <w:highlight w:val="none"/>
              </w:rPr>
            </w:pPr>
            <w:r>
              <w:rPr>
                <w:color w:val="auto"/>
                <w:highlight w:val="none"/>
              </w:rPr>
              <w:t>3、噪声</w:t>
            </w:r>
          </w:p>
          <w:p w14:paraId="1138DD71">
            <w:pPr>
              <w:pStyle w:val="56"/>
              <w:ind w:firstLine="420"/>
              <w:rPr>
                <w:color w:val="auto"/>
                <w:highlight w:val="none"/>
              </w:rPr>
            </w:pPr>
            <w:r>
              <w:rPr>
                <w:color w:val="auto"/>
                <w:highlight w:val="none"/>
              </w:rPr>
              <w:t>施工期场界噪声执行《建筑施工场界环境噪声排放标准》（GB12523-2011）。</w:t>
            </w:r>
          </w:p>
          <w:p w14:paraId="4D93F45E">
            <w:pPr>
              <w:pStyle w:val="55"/>
              <w:rPr>
                <w:color w:val="auto"/>
                <w:highlight w:val="none"/>
              </w:rPr>
            </w:pPr>
            <w:r>
              <w:rPr>
                <w:color w:val="auto"/>
                <w:highlight w:val="none"/>
              </w:rPr>
              <w:t>表3-</w:t>
            </w:r>
            <w:r>
              <w:rPr>
                <w:rFonts w:hint="eastAsia"/>
                <w:color w:val="auto"/>
                <w:highlight w:val="none"/>
                <w:lang w:val="en-US" w:eastAsia="zh-CN"/>
              </w:rPr>
              <w:t>13</w:t>
            </w:r>
            <w:r>
              <w:rPr>
                <w:color w:val="auto"/>
                <w:highlight w:val="none"/>
              </w:rPr>
              <w:t xml:space="preserve"> 《建筑施工场界环境噪声排放标准》（GB12523-2011）</w:t>
            </w:r>
          </w:p>
          <w:tbl>
            <w:tblPr>
              <w:tblStyle w:val="26"/>
              <w:tblW w:w="5000"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125"/>
              <w:gridCol w:w="1962"/>
              <w:gridCol w:w="2208"/>
            </w:tblGrid>
            <w:tr w14:paraId="645E2E74">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exact"/>
                <w:jc w:val="center"/>
              </w:trPr>
              <w:tc>
                <w:tcPr>
                  <w:tcW w:w="2142" w:type="pct"/>
                  <w:tcBorders>
                    <w:top w:val="single" w:color="auto" w:sz="12" w:space="0"/>
                  </w:tcBorders>
                  <w:vAlign w:val="center"/>
                </w:tcPr>
                <w:p w14:paraId="40129C74">
                  <w:pPr>
                    <w:pStyle w:val="51"/>
                    <w:rPr>
                      <w:color w:val="auto"/>
                      <w:highlight w:val="none"/>
                    </w:rPr>
                  </w:pPr>
                  <w:r>
                    <w:rPr>
                      <w:color w:val="auto"/>
                      <w:highlight w:val="none"/>
                    </w:rPr>
                    <w:t>项目</w:t>
                  </w:r>
                </w:p>
              </w:tc>
              <w:tc>
                <w:tcPr>
                  <w:tcW w:w="1345" w:type="pct"/>
                  <w:tcBorders>
                    <w:top w:val="single" w:color="auto" w:sz="12" w:space="0"/>
                  </w:tcBorders>
                  <w:vAlign w:val="center"/>
                </w:tcPr>
                <w:p w14:paraId="2508F3F8">
                  <w:pPr>
                    <w:pStyle w:val="51"/>
                    <w:rPr>
                      <w:color w:val="auto"/>
                      <w:highlight w:val="none"/>
                    </w:rPr>
                  </w:pPr>
                  <w:r>
                    <w:rPr>
                      <w:color w:val="auto"/>
                      <w:highlight w:val="none"/>
                    </w:rPr>
                    <w:t>昼间</w:t>
                  </w:r>
                  <w:r>
                    <w:rPr>
                      <w:rFonts w:hint="eastAsia"/>
                      <w:color w:val="auto"/>
                      <w:highlight w:val="none"/>
                    </w:rPr>
                    <w:t>/dB（A）</w:t>
                  </w:r>
                </w:p>
              </w:tc>
              <w:tc>
                <w:tcPr>
                  <w:tcW w:w="1513" w:type="pct"/>
                  <w:tcBorders>
                    <w:top w:val="single" w:color="auto" w:sz="12" w:space="0"/>
                  </w:tcBorders>
                  <w:vAlign w:val="center"/>
                </w:tcPr>
                <w:p w14:paraId="63844529">
                  <w:pPr>
                    <w:pStyle w:val="51"/>
                    <w:rPr>
                      <w:color w:val="auto"/>
                      <w:highlight w:val="none"/>
                    </w:rPr>
                  </w:pPr>
                  <w:r>
                    <w:rPr>
                      <w:color w:val="auto"/>
                      <w:highlight w:val="none"/>
                    </w:rPr>
                    <w:t>夜间</w:t>
                  </w:r>
                  <w:r>
                    <w:rPr>
                      <w:rFonts w:hint="eastAsia"/>
                      <w:color w:val="auto"/>
                      <w:highlight w:val="none"/>
                    </w:rPr>
                    <w:t>/dB（A）</w:t>
                  </w:r>
                </w:p>
              </w:tc>
            </w:tr>
            <w:tr w14:paraId="7C8CB878">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exact"/>
                <w:jc w:val="center"/>
              </w:trPr>
              <w:tc>
                <w:tcPr>
                  <w:tcW w:w="2142" w:type="pct"/>
                  <w:tcBorders>
                    <w:bottom w:val="single" w:color="auto" w:sz="12" w:space="0"/>
                  </w:tcBorders>
                  <w:vAlign w:val="center"/>
                </w:tcPr>
                <w:p w14:paraId="0C28FBF3">
                  <w:pPr>
                    <w:pStyle w:val="51"/>
                    <w:rPr>
                      <w:color w:val="auto"/>
                      <w:highlight w:val="none"/>
                    </w:rPr>
                  </w:pPr>
                  <w:r>
                    <w:rPr>
                      <w:color w:val="auto"/>
                      <w:highlight w:val="none"/>
                    </w:rPr>
                    <w:t>标准值</w:t>
                  </w:r>
                </w:p>
              </w:tc>
              <w:tc>
                <w:tcPr>
                  <w:tcW w:w="1345" w:type="pct"/>
                  <w:tcBorders>
                    <w:bottom w:val="single" w:color="auto" w:sz="12" w:space="0"/>
                  </w:tcBorders>
                  <w:vAlign w:val="center"/>
                </w:tcPr>
                <w:p w14:paraId="1B564AA8">
                  <w:pPr>
                    <w:pStyle w:val="51"/>
                    <w:rPr>
                      <w:color w:val="auto"/>
                      <w:highlight w:val="none"/>
                    </w:rPr>
                  </w:pPr>
                  <w:r>
                    <w:rPr>
                      <w:color w:val="auto"/>
                      <w:highlight w:val="none"/>
                    </w:rPr>
                    <w:t>70</w:t>
                  </w:r>
                </w:p>
              </w:tc>
              <w:tc>
                <w:tcPr>
                  <w:tcW w:w="1513" w:type="pct"/>
                  <w:tcBorders>
                    <w:bottom w:val="single" w:color="auto" w:sz="12" w:space="0"/>
                  </w:tcBorders>
                  <w:vAlign w:val="center"/>
                </w:tcPr>
                <w:p w14:paraId="587ADD68">
                  <w:pPr>
                    <w:pStyle w:val="51"/>
                    <w:rPr>
                      <w:color w:val="auto"/>
                      <w:highlight w:val="none"/>
                    </w:rPr>
                  </w:pPr>
                  <w:r>
                    <w:rPr>
                      <w:color w:val="auto"/>
                      <w:highlight w:val="none"/>
                    </w:rPr>
                    <w:t>55</w:t>
                  </w:r>
                </w:p>
              </w:tc>
            </w:tr>
          </w:tbl>
          <w:p w14:paraId="3D8DBDB1">
            <w:pPr>
              <w:pStyle w:val="56"/>
              <w:ind w:firstLine="420"/>
              <w:rPr>
                <w:color w:val="auto"/>
                <w:highlight w:val="none"/>
              </w:rPr>
            </w:pPr>
            <w:r>
              <w:rPr>
                <w:color w:val="auto"/>
                <w:highlight w:val="none"/>
              </w:rPr>
              <w:t>4、固体废物</w:t>
            </w:r>
          </w:p>
          <w:p w14:paraId="01B310F0">
            <w:pPr>
              <w:pStyle w:val="56"/>
              <w:ind w:firstLine="420"/>
              <w:rPr>
                <w:color w:val="auto"/>
                <w:highlight w:val="none"/>
              </w:rPr>
            </w:pPr>
            <w:r>
              <w:rPr>
                <w:rFonts w:hint="eastAsia"/>
                <w:color w:val="auto"/>
                <w:highlight w:val="none"/>
              </w:rPr>
              <w:t>（1）一般固体废物执行《一般工业固体废物贮存和填埋污染控制标准》（GB18599-2020）</w:t>
            </w:r>
            <w:r>
              <w:rPr>
                <w:color w:val="auto"/>
                <w:highlight w:val="none"/>
              </w:rPr>
              <w:t>。</w:t>
            </w:r>
          </w:p>
          <w:p w14:paraId="2B9D52C6">
            <w:pPr>
              <w:pStyle w:val="56"/>
              <w:ind w:firstLine="420"/>
              <w:rPr>
                <w:color w:val="FF0000"/>
                <w:kern w:val="0"/>
                <w:szCs w:val="21"/>
                <w:highlight w:val="none"/>
              </w:rPr>
            </w:pPr>
            <w:r>
              <w:rPr>
                <w:rFonts w:hint="eastAsia"/>
                <w:color w:val="auto"/>
                <w:highlight w:val="none"/>
              </w:rPr>
              <w:t>（2）《</w:t>
            </w:r>
            <w:r>
              <w:rPr>
                <w:rFonts w:hint="eastAsia"/>
                <w:color w:val="auto"/>
                <w:highlight w:val="none"/>
                <w:lang w:eastAsia="zh-CN"/>
              </w:rPr>
              <w:t>固体废物分类与代码目录</w:t>
            </w:r>
            <w:r>
              <w:rPr>
                <w:rFonts w:hint="eastAsia"/>
                <w:color w:val="auto"/>
                <w:highlight w:val="none"/>
              </w:rPr>
              <w:t>》（</w:t>
            </w:r>
            <w:r>
              <w:rPr>
                <w:rFonts w:hint="eastAsia"/>
                <w:color w:val="auto"/>
                <w:highlight w:val="none"/>
                <w:lang w:val="en-US" w:eastAsia="zh-CN"/>
              </w:rPr>
              <w:t>2024</w:t>
            </w:r>
            <w:r>
              <w:rPr>
                <w:rFonts w:hint="eastAsia"/>
                <w:color w:val="auto"/>
                <w:highlight w:val="none"/>
              </w:rPr>
              <w:t>）。</w:t>
            </w:r>
          </w:p>
        </w:tc>
      </w:tr>
      <w:tr w14:paraId="32626B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07" w:hRule="atLeast"/>
          <w:jc w:val="center"/>
        </w:trPr>
        <w:tc>
          <w:tcPr>
            <w:tcW w:w="593" w:type="pct"/>
            <w:vAlign w:val="center"/>
          </w:tcPr>
          <w:p w14:paraId="577637C3">
            <w:pPr>
              <w:adjustRightInd w:val="0"/>
              <w:snapToGrid w:val="0"/>
              <w:jc w:val="center"/>
              <w:rPr>
                <w:color w:val="auto"/>
                <w:kern w:val="0"/>
                <w:szCs w:val="21"/>
                <w:highlight w:val="none"/>
              </w:rPr>
            </w:pPr>
            <w:r>
              <w:rPr>
                <w:color w:val="auto"/>
                <w:kern w:val="0"/>
                <w:szCs w:val="21"/>
                <w:highlight w:val="none"/>
              </w:rPr>
              <w:t>其他</w:t>
            </w:r>
          </w:p>
        </w:tc>
        <w:tc>
          <w:tcPr>
            <w:tcW w:w="4407" w:type="pct"/>
            <w:vAlign w:val="center"/>
          </w:tcPr>
          <w:p w14:paraId="6D460609">
            <w:pPr>
              <w:adjustRightInd w:val="0"/>
              <w:snapToGrid w:val="0"/>
              <w:jc w:val="center"/>
              <w:rPr>
                <w:color w:val="auto"/>
                <w:kern w:val="0"/>
                <w:szCs w:val="21"/>
                <w:highlight w:val="none"/>
              </w:rPr>
            </w:pPr>
            <w:r>
              <w:rPr>
                <w:rFonts w:hint="eastAsia"/>
                <w:color w:val="auto"/>
                <w:kern w:val="0"/>
                <w:szCs w:val="21"/>
                <w:highlight w:val="none"/>
              </w:rPr>
              <w:t>无</w:t>
            </w:r>
          </w:p>
        </w:tc>
      </w:tr>
    </w:tbl>
    <w:p w14:paraId="04B28FA6">
      <w:pPr>
        <w:pStyle w:val="22"/>
        <w:jc w:val="center"/>
        <w:outlineLvl w:val="0"/>
        <w:rPr>
          <w:rFonts w:ascii="Times New Roman" w:hAnsi="Times New Roman" w:eastAsia="黑体"/>
          <w:snapToGrid w:val="0"/>
          <w:color w:val="FF0000"/>
          <w:sz w:val="30"/>
          <w:szCs w:val="30"/>
          <w:highlight w:val="none"/>
        </w:rPr>
      </w:pPr>
      <w:r>
        <w:rPr>
          <w:rFonts w:ascii="Times New Roman" w:hAnsi="Times New Roman" w:eastAsia="黑体"/>
          <w:snapToGrid w:val="0"/>
          <w:color w:val="FF0000"/>
          <w:kern w:val="2"/>
          <w:sz w:val="36"/>
          <w:szCs w:val="36"/>
          <w:highlight w:val="none"/>
        </w:rPr>
        <w:br w:type="page"/>
      </w:r>
      <w:bookmarkStart w:id="41" w:name="_Toc6651"/>
      <w:r>
        <w:rPr>
          <w:rFonts w:ascii="Times New Roman" w:hAnsi="Times New Roman" w:eastAsia="黑体"/>
          <w:snapToGrid w:val="0"/>
          <w:color w:val="auto"/>
          <w:sz w:val="30"/>
          <w:szCs w:val="30"/>
          <w:highlight w:val="none"/>
        </w:rPr>
        <w:t>四、生态环境影响分析</w:t>
      </w:r>
      <w:bookmarkEnd w:id="41"/>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2"/>
        <w:gridCol w:w="7730"/>
      </w:tblGrid>
      <w:tr w14:paraId="11A607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422" w:type="pct"/>
            <w:tcMar>
              <w:left w:w="28" w:type="dxa"/>
              <w:right w:w="28" w:type="dxa"/>
            </w:tcMar>
            <w:vAlign w:val="center"/>
          </w:tcPr>
          <w:p w14:paraId="513D7B51">
            <w:pPr>
              <w:pStyle w:val="22"/>
              <w:adjustRightInd w:val="0"/>
              <w:snapToGrid w:val="0"/>
              <w:spacing w:before="0" w:beforeAutospacing="0" w:after="0" w:afterAutospacing="0"/>
              <w:jc w:val="center"/>
              <w:rPr>
                <w:rFonts w:ascii="Times New Roman" w:hAnsi="Times New Roman"/>
                <w:bCs/>
                <w:color w:val="FF0000"/>
                <w:kern w:val="2"/>
                <w:sz w:val="21"/>
                <w:szCs w:val="21"/>
                <w:highlight w:val="none"/>
              </w:rPr>
            </w:pPr>
            <w:r>
              <w:rPr>
                <w:rFonts w:hint="eastAsia" w:ascii="Times New Roman" w:hAnsi="Times New Roman"/>
                <w:bCs/>
                <w:color w:val="auto"/>
                <w:spacing w:val="10"/>
                <w:kern w:val="2"/>
                <w:sz w:val="21"/>
                <w:szCs w:val="21"/>
                <w:highlight w:val="none"/>
              </w:rPr>
              <w:t>施工</w:t>
            </w:r>
            <w:r>
              <w:rPr>
                <w:rFonts w:ascii="Times New Roman" w:hAnsi="Times New Roman"/>
                <w:bCs/>
                <w:color w:val="auto"/>
                <w:spacing w:val="10"/>
                <w:kern w:val="2"/>
                <w:sz w:val="21"/>
                <w:szCs w:val="21"/>
                <w:highlight w:val="none"/>
              </w:rPr>
              <w:t>期生态环境影响分析</w:t>
            </w:r>
          </w:p>
        </w:tc>
        <w:tc>
          <w:tcPr>
            <w:tcW w:w="4578" w:type="pct"/>
          </w:tcPr>
          <w:p w14:paraId="1AC7BEA3">
            <w:pPr>
              <w:pStyle w:val="56"/>
              <w:ind w:firstLine="420"/>
              <w:rPr>
                <w:color w:val="auto"/>
                <w:highlight w:val="none"/>
              </w:rPr>
            </w:pPr>
            <w:r>
              <w:rPr>
                <w:rFonts w:hint="eastAsia"/>
                <w:color w:val="auto"/>
                <w:highlight w:val="none"/>
              </w:rPr>
              <w:t>本项目建设施工阶段工程较为分散，产生的污染物主要为施工扬尘、施工机械噪声、施工人员产生的生活污水、生活垃圾等。</w:t>
            </w:r>
          </w:p>
          <w:p w14:paraId="7BE92E7B">
            <w:pPr>
              <w:pStyle w:val="56"/>
              <w:ind w:firstLine="420"/>
              <w:rPr>
                <w:color w:val="auto"/>
                <w:highlight w:val="none"/>
              </w:rPr>
            </w:pPr>
            <w:r>
              <w:rPr>
                <w:color w:val="auto"/>
                <w:highlight w:val="none"/>
              </w:rPr>
              <w:t>1、施工期废水</w:t>
            </w:r>
            <w:r>
              <w:rPr>
                <w:rFonts w:hint="eastAsia"/>
                <w:color w:val="auto"/>
                <w:highlight w:val="none"/>
              </w:rPr>
              <w:t>影响分析</w:t>
            </w:r>
          </w:p>
          <w:p w14:paraId="34A4D81E">
            <w:pPr>
              <w:pStyle w:val="56"/>
              <w:ind w:firstLine="420"/>
              <w:rPr>
                <w:rFonts w:hint="eastAsia"/>
                <w:color w:val="auto"/>
                <w:highlight w:val="none"/>
              </w:rPr>
            </w:pPr>
            <w:r>
              <w:rPr>
                <w:rFonts w:hint="eastAsia"/>
                <w:color w:val="auto"/>
                <w:szCs w:val="21"/>
                <w:highlight w:val="none"/>
              </w:rPr>
              <w:t>本项目不涉及混凝土工程，不涉及混凝土碱性废水处理。</w:t>
            </w:r>
            <w:r>
              <w:rPr>
                <w:rFonts w:hint="eastAsia"/>
                <w:color w:val="auto"/>
                <w:highlight w:val="none"/>
              </w:rPr>
              <w:t>施工机械、车辆维修和保养均依托当地机修厂，施工现场不单独布设机修厂，不涉及含油废水。对地表水影响的污染源主要为</w:t>
            </w:r>
            <w:r>
              <w:rPr>
                <w:rFonts w:hint="eastAsia"/>
                <w:color w:val="auto"/>
                <w:highlight w:val="none"/>
                <w:lang w:val="en-US" w:eastAsia="zh-CN"/>
              </w:rPr>
              <w:t>施工人员</w:t>
            </w:r>
            <w:r>
              <w:rPr>
                <w:rFonts w:hint="eastAsia"/>
                <w:color w:val="auto"/>
                <w:highlight w:val="none"/>
              </w:rPr>
              <w:t>产生的生活污水。</w:t>
            </w:r>
          </w:p>
          <w:p w14:paraId="611E9FA0">
            <w:pPr>
              <w:pStyle w:val="56"/>
              <w:ind w:firstLine="420"/>
              <w:rPr>
                <w:rFonts w:hint="eastAsia" w:eastAsia="宋体"/>
                <w:color w:val="auto"/>
                <w:highlight w:val="none"/>
                <w:lang w:eastAsia="zh-CN"/>
              </w:rPr>
            </w:pPr>
            <w:r>
              <w:rPr>
                <w:rFonts w:hint="eastAsia"/>
                <w:color w:val="auto"/>
                <w:highlight w:val="none"/>
              </w:rPr>
              <w:t>（1）</w:t>
            </w:r>
            <w:r>
              <w:rPr>
                <w:rFonts w:hint="eastAsia"/>
                <w:color w:val="auto"/>
                <w:highlight w:val="none"/>
                <w:lang w:eastAsia="zh-CN"/>
              </w:rPr>
              <w:t>生活污水</w:t>
            </w:r>
          </w:p>
          <w:p w14:paraId="1EB972BA">
            <w:pPr>
              <w:pStyle w:val="56"/>
              <w:ind w:firstLine="420"/>
              <w:rPr>
                <w:color w:val="auto"/>
                <w:highlight w:val="none"/>
              </w:rPr>
            </w:pPr>
            <w:r>
              <w:rPr>
                <w:rFonts w:hint="eastAsia"/>
                <w:color w:val="auto"/>
                <w:highlight w:val="none"/>
              </w:rPr>
              <w:t>本项目施工人员主要为项目所在地居住人员，饮食全部外购，不设食堂，无食堂废水产生。施工期高峰期人数为</w:t>
            </w:r>
            <w:r>
              <w:rPr>
                <w:color w:val="auto"/>
                <w:highlight w:val="none"/>
              </w:rPr>
              <w:t>50</w:t>
            </w:r>
            <w:r>
              <w:rPr>
                <w:rFonts w:hint="eastAsia"/>
                <w:color w:val="auto"/>
                <w:highlight w:val="none"/>
              </w:rPr>
              <w:t>人，施工人员用水</w:t>
            </w:r>
            <w:r>
              <w:rPr>
                <w:color w:val="auto"/>
                <w:highlight w:val="none"/>
              </w:rPr>
              <w:t>按60L/人•d计，</w:t>
            </w:r>
            <w:r>
              <w:rPr>
                <w:rFonts w:hint="eastAsia"/>
                <w:color w:val="auto"/>
                <w:highlight w:val="none"/>
              </w:rPr>
              <w:t>则生活用水量为</w:t>
            </w:r>
            <w:r>
              <w:rPr>
                <w:rFonts w:hint="eastAsia"/>
                <w:color w:val="auto"/>
                <w:highlight w:val="none"/>
                <w:lang w:val="en-US" w:eastAsia="zh-CN"/>
              </w:rPr>
              <w:t>3</w:t>
            </w:r>
            <w:r>
              <w:rPr>
                <w:rFonts w:hint="eastAsia"/>
                <w:color w:val="auto"/>
                <w:highlight w:val="none"/>
              </w:rPr>
              <w:t>m</w:t>
            </w:r>
            <w:r>
              <w:rPr>
                <w:rFonts w:hint="eastAsia"/>
                <w:color w:val="auto"/>
                <w:highlight w:val="none"/>
                <w:vertAlign w:val="superscript"/>
                <w:lang w:val="en-US" w:eastAsia="zh-CN"/>
              </w:rPr>
              <w:t>3</w:t>
            </w:r>
            <w:r>
              <w:rPr>
                <w:rFonts w:hint="eastAsia"/>
                <w:color w:val="auto"/>
                <w:highlight w:val="none"/>
              </w:rPr>
              <w:t>/d，项目施工期</w:t>
            </w:r>
            <w:r>
              <w:rPr>
                <w:rFonts w:hint="eastAsia"/>
                <w:color w:val="auto"/>
                <w:highlight w:val="none"/>
                <w:lang w:eastAsia="zh-CN"/>
              </w:rPr>
              <w:t>生活污水</w:t>
            </w:r>
            <w:r>
              <w:rPr>
                <w:rFonts w:hint="eastAsia"/>
                <w:color w:val="auto"/>
                <w:highlight w:val="none"/>
              </w:rPr>
              <w:t>按用水量的8</w:t>
            </w:r>
            <w:r>
              <w:rPr>
                <w:color w:val="auto"/>
                <w:highlight w:val="none"/>
              </w:rPr>
              <w:t>0%</w:t>
            </w:r>
            <w:r>
              <w:rPr>
                <w:rFonts w:hint="eastAsia"/>
                <w:color w:val="auto"/>
                <w:highlight w:val="none"/>
              </w:rPr>
              <w:t>计算，则产生</w:t>
            </w:r>
            <w:r>
              <w:rPr>
                <w:rFonts w:hint="eastAsia"/>
                <w:color w:val="auto"/>
                <w:highlight w:val="none"/>
                <w:lang w:eastAsia="zh-CN"/>
              </w:rPr>
              <w:t>生活污水</w:t>
            </w:r>
            <w:r>
              <w:rPr>
                <w:rFonts w:hint="eastAsia"/>
                <w:color w:val="auto"/>
                <w:highlight w:val="none"/>
              </w:rPr>
              <w:t>量为</w:t>
            </w:r>
            <w:r>
              <w:rPr>
                <w:rFonts w:hint="eastAsia"/>
                <w:color w:val="auto"/>
                <w:highlight w:val="none"/>
                <w:lang w:val="en-US" w:eastAsia="zh-CN"/>
              </w:rPr>
              <w:t>2.4</w:t>
            </w:r>
            <w:r>
              <w:rPr>
                <w:rFonts w:hint="eastAsia"/>
                <w:color w:val="auto"/>
                <w:highlight w:val="none"/>
              </w:rPr>
              <w:t>m</w:t>
            </w:r>
            <w:r>
              <w:rPr>
                <w:rFonts w:hint="eastAsia"/>
                <w:color w:val="auto"/>
                <w:highlight w:val="none"/>
                <w:vertAlign w:val="superscript"/>
                <w:lang w:val="en-US" w:eastAsia="zh-CN"/>
              </w:rPr>
              <w:t>3</w:t>
            </w:r>
            <w:r>
              <w:rPr>
                <w:rFonts w:hint="eastAsia"/>
                <w:color w:val="auto"/>
                <w:highlight w:val="none"/>
              </w:rPr>
              <w:t>/d，主要污染物为C</w:t>
            </w:r>
            <w:r>
              <w:rPr>
                <w:color w:val="auto"/>
                <w:highlight w:val="none"/>
              </w:rPr>
              <w:t>OD</w:t>
            </w:r>
            <w:r>
              <w:rPr>
                <w:rFonts w:hint="eastAsia"/>
                <w:color w:val="auto"/>
                <w:highlight w:val="none"/>
              </w:rPr>
              <w:t>、S</w:t>
            </w:r>
            <w:r>
              <w:rPr>
                <w:color w:val="auto"/>
                <w:highlight w:val="none"/>
              </w:rPr>
              <w:t>S</w:t>
            </w:r>
            <w:r>
              <w:rPr>
                <w:rFonts w:hint="eastAsia"/>
                <w:color w:val="auto"/>
                <w:highlight w:val="none"/>
              </w:rPr>
              <w:t>、氨氮等，生活污水直接排放将对河流水质产生影响。</w:t>
            </w:r>
          </w:p>
          <w:p w14:paraId="220732F6">
            <w:pPr>
              <w:pStyle w:val="56"/>
              <w:ind w:firstLine="420"/>
              <w:rPr>
                <w:color w:val="auto"/>
                <w:highlight w:val="none"/>
              </w:rPr>
            </w:pPr>
            <w:r>
              <w:rPr>
                <w:rFonts w:hint="eastAsia"/>
                <w:color w:val="auto"/>
                <w:highlight w:val="none"/>
              </w:rPr>
              <w:t>项目</w:t>
            </w:r>
            <w:r>
              <w:rPr>
                <w:rFonts w:hint="eastAsia"/>
                <w:color w:val="auto"/>
                <w:highlight w:val="none"/>
                <w:lang w:val="en-US" w:eastAsia="zh-CN"/>
              </w:rPr>
              <w:t>现场生产区</w:t>
            </w:r>
            <w:r>
              <w:rPr>
                <w:rFonts w:hint="eastAsia"/>
                <w:color w:val="auto"/>
                <w:highlight w:val="none"/>
              </w:rPr>
              <w:t>产生的生活污水集中排入自建临时防渗旱厕，定期清掏，外运堆肥。</w:t>
            </w:r>
          </w:p>
          <w:p w14:paraId="6CC26E5B">
            <w:pPr>
              <w:pStyle w:val="63"/>
              <w:ind w:firstLine="420"/>
              <w:rPr>
                <w:color w:val="auto"/>
                <w:highlight w:val="none"/>
              </w:rPr>
            </w:pPr>
            <w:r>
              <w:rPr>
                <w:color w:val="auto"/>
                <w:highlight w:val="none"/>
              </w:rPr>
              <w:t>表4-1生活污水产生情况</w:t>
            </w:r>
          </w:p>
          <w:tbl>
            <w:tblPr>
              <w:tblStyle w:val="26"/>
              <w:tblW w:w="749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830"/>
              <w:gridCol w:w="1831"/>
              <w:gridCol w:w="2115"/>
              <w:gridCol w:w="1721"/>
            </w:tblGrid>
            <w:tr w14:paraId="54E84D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6" w:hRule="atLeast"/>
                <w:jc w:val="center"/>
              </w:trPr>
              <w:tc>
                <w:tcPr>
                  <w:tcW w:w="1220" w:type="pct"/>
                  <w:tcBorders>
                    <w:top w:val="single" w:color="000000" w:sz="12" w:space="0"/>
                    <w:bottom w:val="single" w:color="000000" w:sz="4" w:space="0"/>
                    <w:tl2br w:val="nil"/>
                  </w:tcBorders>
                  <w:tcMar>
                    <w:top w:w="15" w:type="dxa"/>
                    <w:left w:w="15" w:type="dxa"/>
                    <w:right w:w="15" w:type="dxa"/>
                  </w:tcMar>
                  <w:vAlign w:val="center"/>
                </w:tcPr>
                <w:p w14:paraId="7A10919D">
                  <w:pPr>
                    <w:pStyle w:val="51"/>
                    <w:rPr>
                      <w:color w:val="auto"/>
                      <w:szCs w:val="21"/>
                      <w:highlight w:val="none"/>
                    </w:rPr>
                  </w:pPr>
                  <w:r>
                    <w:rPr>
                      <w:rFonts w:hint="eastAsia"/>
                      <w:color w:val="auto"/>
                      <w:szCs w:val="21"/>
                      <w:highlight w:val="none"/>
                    </w:rPr>
                    <w:t>污水量</w:t>
                  </w:r>
                </w:p>
              </w:tc>
              <w:tc>
                <w:tcPr>
                  <w:tcW w:w="1221" w:type="pct"/>
                  <w:tcMar>
                    <w:top w:w="15" w:type="dxa"/>
                    <w:left w:w="15" w:type="dxa"/>
                    <w:right w:w="15" w:type="dxa"/>
                  </w:tcMar>
                  <w:vAlign w:val="center"/>
                </w:tcPr>
                <w:p w14:paraId="68AF3E47">
                  <w:pPr>
                    <w:pStyle w:val="51"/>
                    <w:rPr>
                      <w:color w:val="auto"/>
                      <w:szCs w:val="21"/>
                      <w:highlight w:val="none"/>
                    </w:rPr>
                  </w:pPr>
                  <w:r>
                    <w:rPr>
                      <w:color w:val="auto"/>
                      <w:szCs w:val="21"/>
                      <w:highlight w:val="none"/>
                    </w:rPr>
                    <w:t>污染物</w:t>
                  </w:r>
                </w:p>
              </w:tc>
              <w:tc>
                <w:tcPr>
                  <w:tcW w:w="1410" w:type="pct"/>
                  <w:tcMar>
                    <w:top w:w="15" w:type="dxa"/>
                    <w:left w:w="15" w:type="dxa"/>
                    <w:right w:w="15" w:type="dxa"/>
                  </w:tcMar>
                  <w:vAlign w:val="center"/>
                </w:tcPr>
                <w:p w14:paraId="25F50894">
                  <w:pPr>
                    <w:pStyle w:val="51"/>
                    <w:rPr>
                      <w:color w:val="auto"/>
                      <w:highlight w:val="none"/>
                    </w:rPr>
                  </w:pPr>
                  <w:r>
                    <w:rPr>
                      <w:color w:val="auto"/>
                      <w:szCs w:val="21"/>
                      <w:highlight w:val="none"/>
                    </w:rPr>
                    <w:t>产生浓度mg/L</w:t>
                  </w:r>
                </w:p>
              </w:tc>
              <w:tc>
                <w:tcPr>
                  <w:tcW w:w="1147" w:type="pct"/>
                  <w:tcMar>
                    <w:top w:w="15" w:type="dxa"/>
                    <w:left w:w="15" w:type="dxa"/>
                    <w:right w:w="15" w:type="dxa"/>
                  </w:tcMar>
                  <w:vAlign w:val="center"/>
                </w:tcPr>
                <w:p w14:paraId="4456E6FD">
                  <w:pPr>
                    <w:pStyle w:val="51"/>
                    <w:rPr>
                      <w:color w:val="auto"/>
                      <w:highlight w:val="none"/>
                    </w:rPr>
                  </w:pPr>
                  <w:r>
                    <w:rPr>
                      <w:color w:val="auto"/>
                      <w:szCs w:val="21"/>
                      <w:highlight w:val="none"/>
                    </w:rPr>
                    <w:t>产生量t/d</w:t>
                  </w:r>
                </w:p>
              </w:tc>
            </w:tr>
            <w:tr w14:paraId="1E7976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1220" w:type="pct"/>
                  <w:vMerge w:val="restart"/>
                  <w:tcBorders>
                    <w:top w:val="single" w:color="000000" w:sz="4" w:space="0"/>
                  </w:tcBorders>
                  <w:tcMar>
                    <w:top w:w="15" w:type="dxa"/>
                    <w:left w:w="15" w:type="dxa"/>
                    <w:right w:w="15" w:type="dxa"/>
                  </w:tcMar>
                  <w:vAlign w:val="center"/>
                </w:tcPr>
                <w:p w14:paraId="6EFF8B25">
                  <w:pPr>
                    <w:pStyle w:val="51"/>
                    <w:rPr>
                      <w:color w:val="auto"/>
                      <w:szCs w:val="21"/>
                      <w:highlight w:val="none"/>
                    </w:rPr>
                  </w:pPr>
                  <w:r>
                    <w:rPr>
                      <w:color w:val="auto"/>
                      <w:szCs w:val="21"/>
                      <w:highlight w:val="none"/>
                    </w:rPr>
                    <w:t>生活污水</w:t>
                  </w:r>
                  <w:r>
                    <w:rPr>
                      <w:rFonts w:hint="eastAsia"/>
                      <w:color w:val="auto"/>
                      <w:szCs w:val="21"/>
                      <w:highlight w:val="none"/>
                      <w:lang w:val="en-US" w:eastAsia="zh-CN"/>
                    </w:rPr>
                    <w:t>2.4</w:t>
                  </w:r>
                  <w:r>
                    <w:rPr>
                      <w:color w:val="auto"/>
                      <w:szCs w:val="21"/>
                      <w:highlight w:val="none"/>
                    </w:rPr>
                    <w:t>m</w:t>
                  </w:r>
                  <w:r>
                    <w:rPr>
                      <w:color w:val="auto"/>
                      <w:szCs w:val="21"/>
                      <w:highlight w:val="none"/>
                      <w:vertAlign w:val="superscript"/>
                    </w:rPr>
                    <w:t>3</w:t>
                  </w:r>
                  <w:r>
                    <w:rPr>
                      <w:color w:val="auto"/>
                      <w:szCs w:val="21"/>
                      <w:highlight w:val="none"/>
                    </w:rPr>
                    <w:t>/d</w:t>
                  </w:r>
                </w:p>
              </w:tc>
              <w:tc>
                <w:tcPr>
                  <w:tcW w:w="1221" w:type="pct"/>
                  <w:tcMar>
                    <w:top w:w="15" w:type="dxa"/>
                    <w:left w:w="15" w:type="dxa"/>
                    <w:right w:w="15" w:type="dxa"/>
                  </w:tcMar>
                  <w:vAlign w:val="center"/>
                </w:tcPr>
                <w:p w14:paraId="5C89FA4F">
                  <w:pPr>
                    <w:pStyle w:val="51"/>
                    <w:rPr>
                      <w:color w:val="auto"/>
                      <w:szCs w:val="21"/>
                      <w:highlight w:val="none"/>
                    </w:rPr>
                  </w:pPr>
                  <w:r>
                    <w:rPr>
                      <w:color w:val="auto"/>
                      <w:szCs w:val="21"/>
                      <w:highlight w:val="none"/>
                    </w:rPr>
                    <w:t>COD</w:t>
                  </w:r>
                </w:p>
              </w:tc>
              <w:tc>
                <w:tcPr>
                  <w:tcW w:w="1410" w:type="pct"/>
                  <w:tcMar>
                    <w:top w:w="15" w:type="dxa"/>
                    <w:left w:w="15" w:type="dxa"/>
                    <w:right w:w="15" w:type="dxa"/>
                  </w:tcMar>
                  <w:vAlign w:val="center"/>
                </w:tcPr>
                <w:p w14:paraId="345489E2">
                  <w:pPr>
                    <w:pStyle w:val="51"/>
                    <w:rPr>
                      <w:color w:val="auto"/>
                      <w:szCs w:val="21"/>
                      <w:highlight w:val="none"/>
                    </w:rPr>
                  </w:pPr>
                  <w:r>
                    <w:rPr>
                      <w:color w:val="auto"/>
                      <w:szCs w:val="21"/>
                      <w:highlight w:val="none"/>
                    </w:rPr>
                    <w:t>350</w:t>
                  </w:r>
                </w:p>
              </w:tc>
              <w:tc>
                <w:tcPr>
                  <w:tcW w:w="1147" w:type="pct"/>
                  <w:tcMar>
                    <w:top w:w="15" w:type="dxa"/>
                    <w:left w:w="15" w:type="dxa"/>
                    <w:right w:w="15" w:type="dxa"/>
                  </w:tcMar>
                  <w:vAlign w:val="center"/>
                </w:tcPr>
                <w:p w14:paraId="2A3A6D22">
                  <w:pPr>
                    <w:pStyle w:val="51"/>
                    <w:rPr>
                      <w:rFonts w:hint="default" w:eastAsia="宋体"/>
                      <w:color w:val="auto"/>
                      <w:szCs w:val="21"/>
                      <w:highlight w:val="none"/>
                      <w:lang w:val="en-US" w:eastAsia="zh-CN"/>
                    </w:rPr>
                  </w:pPr>
                  <w:r>
                    <w:rPr>
                      <w:rFonts w:hint="eastAsia"/>
                      <w:color w:val="auto"/>
                      <w:szCs w:val="21"/>
                      <w:highlight w:val="none"/>
                      <w:lang w:val="en-US" w:eastAsia="zh-CN"/>
                    </w:rPr>
                    <w:t>0.0008</w:t>
                  </w:r>
                </w:p>
              </w:tc>
            </w:tr>
            <w:tr w14:paraId="5427AB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1220" w:type="pct"/>
                  <w:vMerge w:val="continue"/>
                  <w:tcMar>
                    <w:top w:w="15" w:type="dxa"/>
                    <w:left w:w="15" w:type="dxa"/>
                    <w:right w:w="15" w:type="dxa"/>
                  </w:tcMar>
                  <w:vAlign w:val="center"/>
                </w:tcPr>
                <w:p w14:paraId="34C44C2B">
                  <w:pPr>
                    <w:pStyle w:val="51"/>
                    <w:rPr>
                      <w:color w:val="auto"/>
                      <w:szCs w:val="21"/>
                      <w:highlight w:val="none"/>
                    </w:rPr>
                  </w:pPr>
                </w:p>
              </w:tc>
              <w:tc>
                <w:tcPr>
                  <w:tcW w:w="1221" w:type="pct"/>
                  <w:tcMar>
                    <w:top w:w="15" w:type="dxa"/>
                    <w:left w:w="15" w:type="dxa"/>
                    <w:right w:w="15" w:type="dxa"/>
                  </w:tcMar>
                  <w:vAlign w:val="center"/>
                </w:tcPr>
                <w:p w14:paraId="69AAD985">
                  <w:pPr>
                    <w:pStyle w:val="51"/>
                    <w:rPr>
                      <w:color w:val="auto"/>
                      <w:szCs w:val="21"/>
                      <w:highlight w:val="none"/>
                    </w:rPr>
                  </w:pPr>
                  <w:r>
                    <w:rPr>
                      <w:color w:val="auto"/>
                      <w:szCs w:val="21"/>
                      <w:highlight w:val="none"/>
                    </w:rPr>
                    <w:t>BOD</w:t>
                  </w:r>
                  <w:r>
                    <w:rPr>
                      <w:color w:val="auto"/>
                      <w:szCs w:val="21"/>
                      <w:highlight w:val="none"/>
                      <w:vertAlign w:val="subscript"/>
                    </w:rPr>
                    <w:t>5</w:t>
                  </w:r>
                </w:p>
              </w:tc>
              <w:tc>
                <w:tcPr>
                  <w:tcW w:w="1410" w:type="pct"/>
                  <w:tcMar>
                    <w:top w:w="15" w:type="dxa"/>
                    <w:left w:w="15" w:type="dxa"/>
                    <w:right w:w="15" w:type="dxa"/>
                  </w:tcMar>
                  <w:vAlign w:val="center"/>
                </w:tcPr>
                <w:p w14:paraId="5A67C398">
                  <w:pPr>
                    <w:pStyle w:val="51"/>
                    <w:rPr>
                      <w:color w:val="auto"/>
                      <w:szCs w:val="21"/>
                      <w:highlight w:val="none"/>
                    </w:rPr>
                  </w:pPr>
                  <w:r>
                    <w:rPr>
                      <w:color w:val="auto"/>
                      <w:szCs w:val="21"/>
                      <w:highlight w:val="none"/>
                    </w:rPr>
                    <w:t>200</w:t>
                  </w:r>
                </w:p>
              </w:tc>
              <w:tc>
                <w:tcPr>
                  <w:tcW w:w="1147" w:type="pct"/>
                  <w:tcMar>
                    <w:top w:w="15" w:type="dxa"/>
                    <w:left w:w="15" w:type="dxa"/>
                    <w:right w:w="15" w:type="dxa"/>
                  </w:tcMar>
                  <w:vAlign w:val="center"/>
                </w:tcPr>
                <w:p w14:paraId="59C776DC">
                  <w:pPr>
                    <w:pStyle w:val="51"/>
                    <w:rPr>
                      <w:rFonts w:hint="default" w:eastAsia="宋体"/>
                      <w:color w:val="auto"/>
                      <w:szCs w:val="21"/>
                      <w:highlight w:val="none"/>
                      <w:lang w:val="en-US" w:eastAsia="zh-CN"/>
                    </w:rPr>
                  </w:pPr>
                  <w:r>
                    <w:rPr>
                      <w:rFonts w:hint="eastAsia"/>
                      <w:color w:val="auto"/>
                      <w:szCs w:val="21"/>
                      <w:highlight w:val="none"/>
                      <w:lang w:val="en-US" w:eastAsia="zh-CN"/>
                    </w:rPr>
                    <w:t>0.0005</w:t>
                  </w:r>
                </w:p>
              </w:tc>
            </w:tr>
            <w:tr w14:paraId="2458EF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4" w:hRule="atLeast"/>
                <w:jc w:val="center"/>
              </w:trPr>
              <w:tc>
                <w:tcPr>
                  <w:tcW w:w="1220" w:type="pct"/>
                  <w:vMerge w:val="continue"/>
                  <w:tcMar>
                    <w:top w:w="15" w:type="dxa"/>
                    <w:left w:w="15" w:type="dxa"/>
                    <w:right w:w="15" w:type="dxa"/>
                  </w:tcMar>
                  <w:vAlign w:val="center"/>
                </w:tcPr>
                <w:p w14:paraId="10DF4567">
                  <w:pPr>
                    <w:pStyle w:val="51"/>
                    <w:rPr>
                      <w:color w:val="auto"/>
                      <w:szCs w:val="21"/>
                      <w:highlight w:val="none"/>
                    </w:rPr>
                  </w:pPr>
                </w:p>
              </w:tc>
              <w:tc>
                <w:tcPr>
                  <w:tcW w:w="1221" w:type="pct"/>
                  <w:tcMar>
                    <w:top w:w="15" w:type="dxa"/>
                    <w:left w:w="15" w:type="dxa"/>
                    <w:right w:w="15" w:type="dxa"/>
                  </w:tcMar>
                  <w:vAlign w:val="center"/>
                </w:tcPr>
                <w:p w14:paraId="607648A6">
                  <w:pPr>
                    <w:pStyle w:val="51"/>
                    <w:rPr>
                      <w:color w:val="auto"/>
                      <w:szCs w:val="21"/>
                      <w:highlight w:val="none"/>
                    </w:rPr>
                  </w:pPr>
                  <w:r>
                    <w:rPr>
                      <w:color w:val="auto"/>
                      <w:szCs w:val="21"/>
                      <w:highlight w:val="none"/>
                    </w:rPr>
                    <w:t>氨氮</w:t>
                  </w:r>
                </w:p>
              </w:tc>
              <w:tc>
                <w:tcPr>
                  <w:tcW w:w="1410" w:type="pct"/>
                  <w:tcMar>
                    <w:top w:w="15" w:type="dxa"/>
                    <w:left w:w="15" w:type="dxa"/>
                    <w:right w:w="15" w:type="dxa"/>
                  </w:tcMar>
                  <w:vAlign w:val="center"/>
                </w:tcPr>
                <w:p w14:paraId="34CDE60A">
                  <w:pPr>
                    <w:pStyle w:val="51"/>
                    <w:rPr>
                      <w:color w:val="auto"/>
                      <w:szCs w:val="21"/>
                      <w:highlight w:val="none"/>
                    </w:rPr>
                  </w:pPr>
                  <w:r>
                    <w:rPr>
                      <w:color w:val="auto"/>
                      <w:szCs w:val="21"/>
                      <w:highlight w:val="none"/>
                    </w:rPr>
                    <w:t>25</w:t>
                  </w:r>
                </w:p>
              </w:tc>
              <w:tc>
                <w:tcPr>
                  <w:tcW w:w="1147" w:type="pct"/>
                  <w:tcMar>
                    <w:top w:w="15" w:type="dxa"/>
                    <w:left w:w="15" w:type="dxa"/>
                    <w:right w:w="15" w:type="dxa"/>
                  </w:tcMar>
                  <w:vAlign w:val="center"/>
                </w:tcPr>
                <w:p w14:paraId="59FEF063">
                  <w:pPr>
                    <w:pStyle w:val="51"/>
                    <w:rPr>
                      <w:rFonts w:hint="default" w:eastAsia="宋体"/>
                      <w:color w:val="auto"/>
                      <w:szCs w:val="21"/>
                      <w:highlight w:val="none"/>
                      <w:lang w:val="en-US" w:eastAsia="zh-CN"/>
                    </w:rPr>
                  </w:pPr>
                  <w:r>
                    <w:rPr>
                      <w:rFonts w:hint="eastAsia"/>
                      <w:color w:val="auto"/>
                      <w:szCs w:val="21"/>
                      <w:highlight w:val="none"/>
                      <w:lang w:val="en-US" w:eastAsia="zh-CN"/>
                    </w:rPr>
                    <w:t>0.0001</w:t>
                  </w:r>
                </w:p>
              </w:tc>
            </w:tr>
            <w:tr w14:paraId="79BEB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2" w:hRule="atLeast"/>
                <w:jc w:val="center"/>
              </w:trPr>
              <w:tc>
                <w:tcPr>
                  <w:tcW w:w="1220" w:type="pct"/>
                  <w:vMerge w:val="continue"/>
                  <w:tcMar>
                    <w:top w:w="15" w:type="dxa"/>
                    <w:left w:w="15" w:type="dxa"/>
                    <w:right w:w="15" w:type="dxa"/>
                  </w:tcMar>
                  <w:vAlign w:val="center"/>
                </w:tcPr>
                <w:p w14:paraId="02DED8DF">
                  <w:pPr>
                    <w:pStyle w:val="51"/>
                    <w:rPr>
                      <w:color w:val="auto"/>
                      <w:szCs w:val="21"/>
                      <w:highlight w:val="none"/>
                    </w:rPr>
                  </w:pPr>
                </w:p>
              </w:tc>
              <w:tc>
                <w:tcPr>
                  <w:tcW w:w="1221" w:type="pct"/>
                  <w:tcMar>
                    <w:top w:w="15" w:type="dxa"/>
                    <w:left w:w="15" w:type="dxa"/>
                    <w:right w:w="15" w:type="dxa"/>
                  </w:tcMar>
                  <w:vAlign w:val="center"/>
                </w:tcPr>
                <w:p w14:paraId="3A329118">
                  <w:pPr>
                    <w:pStyle w:val="51"/>
                    <w:rPr>
                      <w:color w:val="auto"/>
                      <w:szCs w:val="21"/>
                      <w:highlight w:val="none"/>
                    </w:rPr>
                  </w:pPr>
                  <w:r>
                    <w:rPr>
                      <w:color w:val="auto"/>
                      <w:szCs w:val="21"/>
                      <w:highlight w:val="none"/>
                    </w:rPr>
                    <w:t>SS</w:t>
                  </w:r>
                </w:p>
              </w:tc>
              <w:tc>
                <w:tcPr>
                  <w:tcW w:w="1410" w:type="pct"/>
                  <w:tcMar>
                    <w:top w:w="15" w:type="dxa"/>
                    <w:left w:w="15" w:type="dxa"/>
                    <w:right w:w="15" w:type="dxa"/>
                  </w:tcMar>
                  <w:vAlign w:val="center"/>
                </w:tcPr>
                <w:p w14:paraId="40F51465">
                  <w:pPr>
                    <w:pStyle w:val="51"/>
                    <w:rPr>
                      <w:color w:val="auto"/>
                      <w:szCs w:val="21"/>
                      <w:highlight w:val="none"/>
                    </w:rPr>
                  </w:pPr>
                  <w:r>
                    <w:rPr>
                      <w:color w:val="auto"/>
                      <w:szCs w:val="21"/>
                      <w:highlight w:val="none"/>
                    </w:rPr>
                    <w:t>200</w:t>
                  </w:r>
                </w:p>
              </w:tc>
              <w:tc>
                <w:tcPr>
                  <w:tcW w:w="1147" w:type="pct"/>
                  <w:tcMar>
                    <w:top w:w="15" w:type="dxa"/>
                    <w:left w:w="15" w:type="dxa"/>
                    <w:right w:w="15" w:type="dxa"/>
                  </w:tcMar>
                  <w:vAlign w:val="center"/>
                </w:tcPr>
                <w:p w14:paraId="151C4CE6">
                  <w:pPr>
                    <w:pStyle w:val="51"/>
                    <w:rPr>
                      <w:rFonts w:hint="default" w:eastAsia="宋体"/>
                      <w:color w:val="auto"/>
                      <w:szCs w:val="21"/>
                      <w:highlight w:val="none"/>
                      <w:lang w:val="en-US" w:eastAsia="zh-CN"/>
                    </w:rPr>
                  </w:pPr>
                  <w:r>
                    <w:rPr>
                      <w:rFonts w:hint="eastAsia"/>
                      <w:color w:val="auto"/>
                      <w:szCs w:val="21"/>
                      <w:highlight w:val="none"/>
                      <w:lang w:val="en-US" w:eastAsia="zh-CN"/>
                    </w:rPr>
                    <w:t>0.0005</w:t>
                  </w:r>
                </w:p>
              </w:tc>
            </w:tr>
          </w:tbl>
          <w:p w14:paraId="06618B07">
            <w:pPr>
              <w:pStyle w:val="56"/>
              <w:ind w:firstLine="420"/>
              <w:rPr>
                <w:color w:val="auto"/>
                <w:highlight w:val="none"/>
              </w:rPr>
            </w:pPr>
            <w:r>
              <w:rPr>
                <w:color w:val="auto"/>
                <w:highlight w:val="none"/>
              </w:rPr>
              <w:t>2、施工期大气</w:t>
            </w:r>
            <w:r>
              <w:rPr>
                <w:rFonts w:hint="eastAsia"/>
                <w:color w:val="auto"/>
                <w:highlight w:val="none"/>
              </w:rPr>
              <w:t>环境影响分析</w:t>
            </w:r>
          </w:p>
          <w:p w14:paraId="0E351C23">
            <w:pPr>
              <w:pStyle w:val="56"/>
              <w:ind w:firstLine="420"/>
              <w:rPr>
                <w:color w:val="FF0000"/>
                <w:highlight w:val="none"/>
              </w:rPr>
            </w:pPr>
            <w:r>
              <w:rPr>
                <w:color w:val="auto"/>
                <w:highlight w:val="none"/>
              </w:rPr>
              <w:t>施工期对大气环境产生的影响主要来自</w:t>
            </w:r>
            <w:r>
              <w:rPr>
                <w:rFonts w:hint="eastAsia"/>
                <w:color w:val="auto"/>
                <w:highlight w:val="none"/>
              </w:rPr>
              <w:t>土方开挖、填筑</w:t>
            </w:r>
            <w:r>
              <w:rPr>
                <w:color w:val="auto"/>
                <w:highlight w:val="none"/>
              </w:rPr>
              <w:t>等施工作业过程中产生的粉尘</w:t>
            </w:r>
            <w:r>
              <w:rPr>
                <w:rFonts w:hint="eastAsia"/>
                <w:color w:val="auto"/>
                <w:highlight w:val="none"/>
              </w:rPr>
              <w:t>、扬尘</w:t>
            </w:r>
            <w:r>
              <w:rPr>
                <w:color w:val="auto"/>
                <w:highlight w:val="none"/>
              </w:rPr>
              <w:t>及运输过程中产生的二次扬尘，其次是</w:t>
            </w:r>
            <w:r>
              <w:rPr>
                <w:rFonts w:hint="eastAsia"/>
                <w:color w:val="auto"/>
                <w:highlight w:val="none"/>
              </w:rPr>
              <w:t>运输车辆</w:t>
            </w:r>
            <w:r>
              <w:rPr>
                <w:color w:val="auto"/>
                <w:highlight w:val="none"/>
              </w:rPr>
              <w:t>和</w:t>
            </w:r>
            <w:r>
              <w:rPr>
                <w:rFonts w:hint="eastAsia"/>
                <w:color w:val="auto"/>
                <w:highlight w:val="none"/>
              </w:rPr>
              <w:t>施工</w:t>
            </w:r>
            <w:r>
              <w:rPr>
                <w:color w:val="auto"/>
                <w:highlight w:val="none"/>
              </w:rPr>
              <w:t>机械尾气。</w:t>
            </w:r>
          </w:p>
          <w:p w14:paraId="671F3533">
            <w:pPr>
              <w:pStyle w:val="56"/>
              <w:ind w:firstLine="420"/>
              <w:rPr>
                <w:color w:val="auto"/>
                <w:highlight w:val="none"/>
              </w:rPr>
            </w:pPr>
            <w:r>
              <w:rPr>
                <w:color w:val="auto"/>
                <w:highlight w:val="none"/>
              </w:rPr>
              <w:t>（1）</w:t>
            </w:r>
            <w:r>
              <w:rPr>
                <w:rFonts w:hint="eastAsia"/>
                <w:color w:val="auto"/>
                <w:highlight w:val="none"/>
              </w:rPr>
              <w:t>土方填筑</w:t>
            </w:r>
            <w:r>
              <w:rPr>
                <w:color w:val="auto"/>
                <w:highlight w:val="none"/>
              </w:rPr>
              <w:t>施工扬尘</w:t>
            </w:r>
          </w:p>
          <w:p w14:paraId="3348E56E">
            <w:pPr>
              <w:pStyle w:val="56"/>
              <w:ind w:firstLine="420"/>
              <w:rPr>
                <w:color w:val="auto"/>
                <w:highlight w:val="none"/>
              </w:rPr>
            </w:pPr>
            <w:r>
              <w:rPr>
                <w:rFonts w:hint="eastAsia"/>
                <w:color w:val="auto"/>
                <w:highlight w:val="none"/>
              </w:rPr>
              <w:t>施工期对大气环境影响最大的是施工扬尘，扬尘量大小与施工现场条件、管理水平、机械化程度及天气等诸多因素有关。施工扬尘的产生与影响是有时间性的，它随着施工的结束而自行消失。在项目的整个施工期，产生扬尘的作业有土方开挖、回填、道路铺设，土石方工程以及砂土等散体材料运输过程的飘洒抛漏以及物料堆放、装卸等过程，如遇干旱无雨季节，加上大风，施工扬尘将更为严重。</w:t>
            </w:r>
          </w:p>
          <w:p w14:paraId="0E968920">
            <w:pPr>
              <w:pStyle w:val="56"/>
              <w:ind w:firstLine="420"/>
              <w:rPr>
                <w:color w:val="auto"/>
                <w:highlight w:val="none"/>
              </w:rPr>
            </w:pPr>
            <w:r>
              <w:rPr>
                <w:rFonts w:hint="eastAsia"/>
                <w:color w:val="auto"/>
                <w:highlight w:val="none"/>
              </w:rPr>
              <w:t>施工扬尘的一种情况是露天堆场和裸露场地的风力扬尘。由于施工需要，一些建材露天堆放，一些施工点表层土壤需人工开挖、堆放，在气候干燥又有风的情况下，会产生扬尘。这类扬尘的主要特点是与风速和尘粒含水率有关，因此，禁止大风天气作业和减少建材的露天堆放、保证一定的含水率是抑制这类扬尘的有效手段。</w:t>
            </w:r>
          </w:p>
          <w:p w14:paraId="40175423">
            <w:pPr>
              <w:pStyle w:val="56"/>
              <w:ind w:firstLine="420"/>
              <w:rPr>
                <w:color w:val="auto"/>
                <w:highlight w:val="none"/>
              </w:rPr>
            </w:pPr>
            <w:r>
              <w:rPr>
                <w:rFonts w:hint="eastAsia"/>
                <w:color w:val="auto"/>
                <w:highlight w:val="none"/>
              </w:rPr>
              <w:t>施工扬尘最大产生时间将出现在土方开挖阶段，由于该阶段裸露浮土较多，产尘量较大。物料沿路撒落或风吹起尘，在工程区内和道路上易带起场尘，污染环境。</w:t>
            </w:r>
          </w:p>
          <w:p w14:paraId="5A038F71">
            <w:pPr>
              <w:pStyle w:val="56"/>
              <w:ind w:firstLine="420"/>
              <w:rPr>
                <w:color w:val="auto"/>
                <w:highlight w:val="none"/>
              </w:rPr>
            </w:pPr>
            <w:r>
              <w:rPr>
                <w:rFonts w:hint="eastAsia"/>
                <w:color w:val="auto"/>
                <w:highlight w:val="none"/>
              </w:rPr>
              <w:t>（2）</w:t>
            </w:r>
            <w:r>
              <w:rPr>
                <w:color w:val="auto"/>
                <w:highlight w:val="none"/>
              </w:rPr>
              <w:t>车辆</w:t>
            </w:r>
            <w:r>
              <w:rPr>
                <w:rFonts w:hint="eastAsia"/>
                <w:color w:val="auto"/>
                <w:highlight w:val="none"/>
              </w:rPr>
              <w:t>运输过程</w:t>
            </w:r>
            <w:r>
              <w:rPr>
                <w:color w:val="auto"/>
                <w:highlight w:val="none"/>
              </w:rPr>
              <w:t>行驶动力起尘</w:t>
            </w:r>
          </w:p>
          <w:p w14:paraId="55A2BBE4">
            <w:pPr>
              <w:pStyle w:val="56"/>
              <w:ind w:firstLine="420"/>
              <w:rPr>
                <w:color w:val="auto"/>
                <w:highlight w:val="none"/>
              </w:rPr>
            </w:pPr>
            <w:r>
              <w:rPr>
                <w:color w:val="auto"/>
                <w:highlight w:val="none"/>
              </w:rPr>
              <w:t>施工及</w:t>
            </w:r>
            <w:r>
              <w:rPr>
                <w:rFonts w:hint="eastAsia"/>
                <w:color w:val="auto"/>
                <w:highlight w:val="none"/>
              </w:rPr>
              <w:t>物料运输、</w:t>
            </w:r>
            <w:r>
              <w:rPr>
                <w:color w:val="auto"/>
                <w:highlight w:val="none"/>
              </w:rPr>
              <w:t>装卸车辆行驶产生的扬尘，在完全干燥情况下，可按下列经验公式计算：</w:t>
            </w:r>
          </w:p>
          <w:p w14:paraId="5F0EEB80">
            <w:pPr>
              <w:ind w:firstLine="420"/>
              <w:jc w:val="center"/>
              <w:rPr>
                <w:color w:val="auto"/>
                <w:szCs w:val="21"/>
                <w:highlight w:val="none"/>
              </w:rPr>
            </w:pPr>
            <w:r>
              <w:rPr>
                <w:color w:val="auto"/>
                <w:szCs w:val="21"/>
                <w:highlight w:val="none"/>
              </w:rPr>
              <w:object>
                <v:shape id="_x0000_i1025" o:spt="75" type="#_x0000_t75" style="height:36.55pt;width:150.45pt;" o:ole="t" fillcolor="#000005" filled="f" o:preferrelative="t" stroked="f" coordsize="21600,21600">
                  <v:path/>
                  <v:fill on="f" focussize="0,0"/>
                  <v:stroke on="f" joinstyle="miter"/>
                  <v:imagedata r:id="rId14" o:title=""/>
                  <o:lock v:ext="edit" aspectratio="t"/>
                  <w10:wrap type="none"/>
                  <w10:anchorlock/>
                </v:shape>
                <o:OLEObject Type="Embed" ProgID="Equation.DSMT4" ShapeID="_x0000_i1025" DrawAspect="Content" ObjectID="_1468075725" r:id="rId13">
                  <o:LockedField>false</o:LockedField>
                </o:OLEObject>
              </w:object>
            </w:r>
          </w:p>
          <w:p w14:paraId="5A6D66E3">
            <w:pPr>
              <w:pStyle w:val="56"/>
              <w:ind w:firstLine="420"/>
              <w:rPr>
                <w:color w:val="auto"/>
                <w:highlight w:val="none"/>
              </w:rPr>
            </w:pPr>
            <w:r>
              <w:rPr>
                <w:color w:val="auto"/>
                <w:highlight w:val="none"/>
              </w:rPr>
              <w:t>式中：Q——汽车行驶的扬尘，kg/km辆；</w:t>
            </w:r>
          </w:p>
          <w:p w14:paraId="3211070E">
            <w:pPr>
              <w:pStyle w:val="56"/>
              <w:ind w:firstLine="420"/>
              <w:rPr>
                <w:color w:val="auto"/>
                <w:highlight w:val="none"/>
              </w:rPr>
            </w:pPr>
            <w:r>
              <w:rPr>
                <w:color w:val="auto"/>
                <w:highlight w:val="none"/>
              </w:rPr>
              <w:t>V——汽车速度，km/h；</w:t>
            </w:r>
          </w:p>
          <w:p w14:paraId="52486FD6">
            <w:pPr>
              <w:pStyle w:val="56"/>
              <w:ind w:firstLine="420"/>
              <w:rPr>
                <w:color w:val="auto"/>
                <w:highlight w:val="none"/>
              </w:rPr>
            </w:pPr>
            <w:r>
              <w:rPr>
                <w:color w:val="auto"/>
                <w:highlight w:val="none"/>
              </w:rPr>
              <w:t>W——汽车载重量，t；</w:t>
            </w:r>
          </w:p>
          <w:p w14:paraId="3FF75715">
            <w:pPr>
              <w:pStyle w:val="56"/>
              <w:ind w:firstLine="420"/>
              <w:rPr>
                <w:color w:val="auto"/>
                <w:highlight w:val="none"/>
              </w:rPr>
            </w:pPr>
            <w:r>
              <w:rPr>
                <w:color w:val="auto"/>
                <w:highlight w:val="none"/>
              </w:rPr>
              <w:t>P——道路表面粉尘量，kg/m</w:t>
            </w:r>
            <w:r>
              <w:rPr>
                <w:color w:val="auto"/>
                <w:highlight w:val="none"/>
                <w:vertAlign w:val="superscript"/>
              </w:rPr>
              <w:t>2</w:t>
            </w:r>
            <w:r>
              <w:rPr>
                <w:color w:val="auto"/>
                <w:highlight w:val="none"/>
              </w:rPr>
              <w:t>。</w:t>
            </w:r>
          </w:p>
          <w:p w14:paraId="0ED4A184">
            <w:pPr>
              <w:pStyle w:val="56"/>
              <w:ind w:firstLine="420"/>
              <w:rPr>
                <w:color w:val="auto"/>
                <w:highlight w:val="none"/>
              </w:rPr>
            </w:pPr>
            <w:r>
              <w:rPr>
                <w:rFonts w:hint="eastAsia"/>
                <w:color w:val="auto"/>
                <w:highlight w:val="none"/>
              </w:rPr>
              <w:t>类比</w:t>
            </w:r>
            <w:r>
              <w:rPr>
                <w:color w:val="auto"/>
                <w:highlight w:val="none"/>
              </w:rPr>
              <w:t>类似项目现场测定可知，在洒水情况下，施工扬尘量会小于土方量的0.1%；在干燥情况下，可以达到土方量的1%以上，影响距离不大于100m；在洒水和避免大风日施工情况下，下风向50m处TSP预测浓度会小于0.3mg/m</w:t>
            </w:r>
            <w:r>
              <w:rPr>
                <w:color w:val="auto"/>
                <w:highlight w:val="none"/>
                <w:vertAlign w:val="superscript"/>
              </w:rPr>
              <w:t>3</w:t>
            </w:r>
            <w:r>
              <w:rPr>
                <w:color w:val="auto"/>
                <w:highlight w:val="none"/>
              </w:rPr>
              <w:t>。表4-</w:t>
            </w:r>
            <w:r>
              <w:rPr>
                <w:rFonts w:hint="eastAsia"/>
                <w:color w:val="auto"/>
                <w:highlight w:val="none"/>
                <w:lang w:val="en-US" w:eastAsia="zh-CN"/>
              </w:rPr>
              <w:t>2</w:t>
            </w:r>
            <w:r>
              <w:rPr>
                <w:color w:val="auto"/>
                <w:highlight w:val="none"/>
              </w:rPr>
              <w:t>为一辆载重5吨的卡车通过路面时，不同路面清洁程度，不同行驶速度情况下产生的扬尘量。由此可见，在同样路面清洁情况下，车速越快，扬尘量越大；而在同样车速情况下，路面清洁度越差，则扬尘量越大。</w:t>
            </w:r>
          </w:p>
          <w:p w14:paraId="0E44F31D">
            <w:pPr>
              <w:pStyle w:val="55"/>
              <w:rPr>
                <w:color w:val="auto"/>
                <w:highlight w:val="none"/>
              </w:rPr>
            </w:pPr>
            <w:r>
              <w:rPr>
                <w:color w:val="auto"/>
                <w:highlight w:val="none"/>
              </w:rPr>
              <w:t>表4-</w:t>
            </w:r>
            <w:r>
              <w:rPr>
                <w:rFonts w:hint="eastAsia"/>
                <w:color w:val="auto"/>
                <w:highlight w:val="none"/>
                <w:lang w:val="en-US" w:eastAsia="zh-CN"/>
              </w:rPr>
              <w:t xml:space="preserve">2 </w:t>
            </w:r>
            <w:r>
              <w:rPr>
                <w:color w:val="auto"/>
                <w:highlight w:val="none"/>
              </w:rPr>
              <w:t xml:space="preserve"> 不同车速和地面清洁程度时的汽车扬尘</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791"/>
              <w:gridCol w:w="763"/>
              <w:gridCol w:w="921"/>
              <w:gridCol w:w="978"/>
              <w:gridCol w:w="1006"/>
              <w:gridCol w:w="1019"/>
              <w:gridCol w:w="1026"/>
            </w:tblGrid>
            <w:tr w14:paraId="7A5A3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13" w:type="dxa"/>
                  <w:tcBorders>
                    <w:top w:val="single" w:color="auto" w:sz="12" w:space="0"/>
                    <w:left w:val="nil"/>
                    <w:tl2br w:val="single" w:color="auto" w:sz="4" w:space="0"/>
                  </w:tcBorders>
                  <w:vAlign w:val="center"/>
                </w:tcPr>
                <w:p w14:paraId="062F4ED2">
                  <w:pPr>
                    <w:pStyle w:val="51"/>
                    <w:jc w:val="right"/>
                    <w:rPr>
                      <w:color w:val="auto"/>
                      <w:highlight w:val="none"/>
                    </w:rPr>
                  </w:pPr>
                  <w:r>
                    <w:rPr>
                      <w:color w:val="auto"/>
                      <w:highlight w:val="none"/>
                    </w:rPr>
                    <w:t xml:space="preserve">        P（kg/m</w:t>
                  </w:r>
                  <w:r>
                    <w:rPr>
                      <w:color w:val="auto"/>
                      <w:highlight w:val="none"/>
                      <w:vertAlign w:val="superscript"/>
                    </w:rPr>
                    <w:t>2</w:t>
                  </w:r>
                  <w:r>
                    <w:rPr>
                      <w:color w:val="auto"/>
                      <w:highlight w:val="none"/>
                    </w:rPr>
                    <w:t>）</w:t>
                  </w:r>
                </w:p>
                <w:p w14:paraId="5FEF7301">
                  <w:pPr>
                    <w:pStyle w:val="51"/>
                    <w:jc w:val="left"/>
                    <w:rPr>
                      <w:color w:val="auto"/>
                      <w:highlight w:val="none"/>
                    </w:rPr>
                  </w:pPr>
                  <w:r>
                    <w:rPr>
                      <w:color w:val="auto"/>
                      <w:highlight w:val="none"/>
                    </w:rPr>
                    <w:t>车速（km/h）</w:t>
                  </w:r>
                </w:p>
              </w:tc>
              <w:tc>
                <w:tcPr>
                  <w:tcW w:w="854" w:type="dxa"/>
                  <w:tcBorders>
                    <w:top w:val="single" w:color="auto" w:sz="12" w:space="0"/>
                  </w:tcBorders>
                  <w:vAlign w:val="center"/>
                </w:tcPr>
                <w:p w14:paraId="001BC75B">
                  <w:pPr>
                    <w:pStyle w:val="51"/>
                    <w:rPr>
                      <w:color w:val="auto"/>
                      <w:highlight w:val="none"/>
                    </w:rPr>
                  </w:pPr>
                  <w:r>
                    <w:rPr>
                      <w:color w:val="auto"/>
                      <w:highlight w:val="none"/>
                    </w:rPr>
                    <w:t>0.1</w:t>
                  </w:r>
                </w:p>
              </w:tc>
              <w:tc>
                <w:tcPr>
                  <w:tcW w:w="1034" w:type="dxa"/>
                  <w:tcBorders>
                    <w:top w:val="single" w:color="auto" w:sz="12" w:space="0"/>
                  </w:tcBorders>
                  <w:vAlign w:val="center"/>
                </w:tcPr>
                <w:p w14:paraId="44BBA74E">
                  <w:pPr>
                    <w:pStyle w:val="51"/>
                    <w:rPr>
                      <w:color w:val="auto"/>
                      <w:highlight w:val="none"/>
                    </w:rPr>
                  </w:pPr>
                  <w:r>
                    <w:rPr>
                      <w:color w:val="auto"/>
                      <w:highlight w:val="none"/>
                    </w:rPr>
                    <w:t>0.2</w:t>
                  </w:r>
                </w:p>
              </w:tc>
              <w:tc>
                <w:tcPr>
                  <w:tcW w:w="1098" w:type="dxa"/>
                  <w:tcBorders>
                    <w:top w:val="single" w:color="auto" w:sz="12" w:space="0"/>
                  </w:tcBorders>
                  <w:vAlign w:val="center"/>
                </w:tcPr>
                <w:p w14:paraId="6E0E2C7B">
                  <w:pPr>
                    <w:pStyle w:val="51"/>
                    <w:rPr>
                      <w:color w:val="auto"/>
                      <w:highlight w:val="none"/>
                    </w:rPr>
                  </w:pPr>
                  <w:r>
                    <w:rPr>
                      <w:color w:val="auto"/>
                      <w:highlight w:val="none"/>
                    </w:rPr>
                    <w:t>0.3</w:t>
                  </w:r>
                </w:p>
              </w:tc>
              <w:tc>
                <w:tcPr>
                  <w:tcW w:w="1129" w:type="dxa"/>
                  <w:tcBorders>
                    <w:top w:val="single" w:color="auto" w:sz="12" w:space="0"/>
                  </w:tcBorders>
                  <w:vAlign w:val="center"/>
                </w:tcPr>
                <w:p w14:paraId="30CD6E69">
                  <w:pPr>
                    <w:pStyle w:val="51"/>
                    <w:rPr>
                      <w:color w:val="auto"/>
                      <w:highlight w:val="none"/>
                    </w:rPr>
                  </w:pPr>
                  <w:r>
                    <w:rPr>
                      <w:color w:val="auto"/>
                      <w:highlight w:val="none"/>
                    </w:rPr>
                    <w:t>0.4</w:t>
                  </w:r>
                </w:p>
              </w:tc>
              <w:tc>
                <w:tcPr>
                  <w:tcW w:w="1144" w:type="dxa"/>
                  <w:tcBorders>
                    <w:top w:val="single" w:color="auto" w:sz="12" w:space="0"/>
                  </w:tcBorders>
                  <w:vAlign w:val="center"/>
                </w:tcPr>
                <w:p w14:paraId="54117235">
                  <w:pPr>
                    <w:pStyle w:val="51"/>
                    <w:rPr>
                      <w:color w:val="auto"/>
                      <w:highlight w:val="none"/>
                    </w:rPr>
                  </w:pPr>
                  <w:r>
                    <w:rPr>
                      <w:color w:val="auto"/>
                      <w:highlight w:val="none"/>
                    </w:rPr>
                    <w:t>0.5</w:t>
                  </w:r>
                </w:p>
              </w:tc>
              <w:tc>
                <w:tcPr>
                  <w:tcW w:w="1152" w:type="dxa"/>
                  <w:tcBorders>
                    <w:top w:val="single" w:color="auto" w:sz="12" w:space="0"/>
                    <w:right w:val="nil"/>
                  </w:tcBorders>
                  <w:vAlign w:val="center"/>
                </w:tcPr>
                <w:p w14:paraId="3C5740B5">
                  <w:pPr>
                    <w:pStyle w:val="51"/>
                    <w:rPr>
                      <w:color w:val="auto"/>
                      <w:highlight w:val="none"/>
                    </w:rPr>
                  </w:pPr>
                  <w:r>
                    <w:rPr>
                      <w:color w:val="auto"/>
                      <w:highlight w:val="none"/>
                    </w:rPr>
                    <w:t>1.0</w:t>
                  </w:r>
                </w:p>
              </w:tc>
            </w:tr>
            <w:tr w14:paraId="63553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13" w:type="dxa"/>
                  <w:tcBorders>
                    <w:left w:val="nil"/>
                  </w:tcBorders>
                  <w:vAlign w:val="center"/>
                </w:tcPr>
                <w:p w14:paraId="720A11C5">
                  <w:pPr>
                    <w:pStyle w:val="51"/>
                    <w:rPr>
                      <w:color w:val="auto"/>
                      <w:highlight w:val="none"/>
                    </w:rPr>
                  </w:pPr>
                  <w:r>
                    <w:rPr>
                      <w:color w:val="auto"/>
                      <w:highlight w:val="none"/>
                    </w:rPr>
                    <w:t>5</w:t>
                  </w:r>
                </w:p>
              </w:tc>
              <w:tc>
                <w:tcPr>
                  <w:tcW w:w="854" w:type="dxa"/>
                  <w:vAlign w:val="center"/>
                </w:tcPr>
                <w:p w14:paraId="07589480">
                  <w:pPr>
                    <w:pStyle w:val="51"/>
                    <w:rPr>
                      <w:color w:val="auto"/>
                      <w:highlight w:val="none"/>
                    </w:rPr>
                  </w:pPr>
                  <w:r>
                    <w:rPr>
                      <w:color w:val="auto"/>
                      <w:highlight w:val="none"/>
                    </w:rPr>
                    <w:t>0.0283</w:t>
                  </w:r>
                </w:p>
              </w:tc>
              <w:tc>
                <w:tcPr>
                  <w:tcW w:w="1034" w:type="dxa"/>
                  <w:vAlign w:val="center"/>
                </w:tcPr>
                <w:p w14:paraId="6C45B58F">
                  <w:pPr>
                    <w:pStyle w:val="51"/>
                    <w:rPr>
                      <w:color w:val="auto"/>
                      <w:highlight w:val="none"/>
                    </w:rPr>
                  </w:pPr>
                  <w:r>
                    <w:rPr>
                      <w:color w:val="auto"/>
                      <w:highlight w:val="none"/>
                    </w:rPr>
                    <w:t>0.0476</w:t>
                  </w:r>
                </w:p>
              </w:tc>
              <w:tc>
                <w:tcPr>
                  <w:tcW w:w="1098" w:type="dxa"/>
                  <w:vAlign w:val="center"/>
                </w:tcPr>
                <w:p w14:paraId="49531E98">
                  <w:pPr>
                    <w:pStyle w:val="51"/>
                    <w:rPr>
                      <w:color w:val="auto"/>
                      <w:highlight w:val="none"/>
                    </w:rPr>
                  </w:pPr>
                  <w:r>
                    <w:rPr>
                      <w:color w:val="auto"/>
                      <w:highlight w:val="none"/>
                    </w:rPr>
                    <w:t>0.0646</w:t>
                  </w:r>
                </w:p>
              </w:tc>
              <w:tc>
                <w:tcPr>
                  <w:tcW w:w="1129" w:type="dxa"/>
                  <w:vAlign w:val="center"/>
                </w:tcPr>
                <w:p w14:paraId="14C97993">
                  <w:pPr>
                    <w:pStyle w:val="51"/>
                    <w:rPr>
                      <w:color w:val="auto"/>
                      <w:highlight w:val="none"/>
                    </w:rPr>
                  </w:pPr>
                  <w:r>
                    <w:rPr>
                      <w:color w:val="auto"/>
                      <w:highlight w:val="none"/>
                    </w:rPr>
                    <w:t>0.0801</w:t>
                  </w:r>
                </w:p>
              </w:tc>
              <w:tc>
                <w:tcPr>
                  <w:tcW w:w="1144" w:type="dxa"/>
                  <w:vAlign w:val="center"/>
                </w:tcPr>
                <w:p w14:paraId="1049B367">
                  <w:pPr>
                    <w:pStyle w:val="51"/>
                    <w:rPr>
                      <w:color w:val="auto"/>
                      <w:highlight w:val="none"/>
                    </w:rPr>
                  </w:pPr>
                  <w:r>
                    <w:rPr>
                      <w:color w:val="auto"/>
                      <w:highlight w:val="none"/>
                    </w:rPr>
                    <w:t>0.0947</w:t>
                  </w:r>
                </w:p>
              </w:tc>
              <w:tc>
                <w:tcPr>
                  <w:tcW w:w="1152" w:type="dxa"/>
                  <w:tcBorders>
                    <w:right w:val="nil"/>
                  </w:tcBorders>
                  <w:vAlign w:val="center"/>
                </w:tcPr>
                <w:p w14:paraId="76743654">
                  <w:pPr>
                    <w:pStyle w:val="51"/>
                    <w:rPr>
                      <w:color w:val="auto"/>
                      <w:highlight w:val="none"/>
                    </w:rPr>
                  </w:pPr>
                  <w:r>
                    <w:rPr>
                      <w:color w:val="auto"/>
                      <w:highlight w:val="none"/>
                    </w:rPr>
                    <w:t>0.1593</w:t>
                  </w:r>
                </w:p>
              </w:tc>
            </w:tr>
            <w:tr w14:paraId="73D45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13" w:type="dxa"/>
                  <w:tcBorders>
                    <w:left w:val="nil"/>
                  </w:tcBorders>
                  <w:vAlign w:val="center"/>
                </w:tcPr>
                <w:p w14:paraId="567B2C86">
                  <w:pPr>
                    <w:pStyle w:val="51"/>
                    <w:rPr>
                      <w:color w:val="auto"/>
                      <w:highlight w:val="none"/>
                    </w:rPr>
                  </w:pPr>
                  <w:r>
                    <w:rPr>
                      <w:color w:val="auto"/>
                      <w:highlight w:val="none"/>
                    </w:rPr>
                    <w:t>10</w:t>
                  </w:r>
                </w:p>
              </w:tc>
              <w:tc>
                <w:tcPr>
                  <w:tcW w:w="854" w:type="dxa"/>
                  <w:vAlign w:val="center"/>
                </w:tcPr>
                <w:p w14:paraId="4E67F6BB">
                  <w:pPr>
                    <w:pStyle w:val="51"/>
                    <w:rPr>
                      <w:color w:val="auto"/>
                      <w:highlight w:val="none"/>
                    </w:rPr>
                  </w:pPr>
                  <w:r>
                    <w:rPr>
                      <w:color w:val="auto"/>
                      <w:highlight w:val="none"/>
                    </w:rPr>
                    <w:t>0.0566</w:t>
                  </w:r>
                </w:p>
              </w:tc>
              <w:tc>
                <w:tcPr>
                  <w:tcW w:w="1034" w:type="dxa"/>
                  <w:vAlign w:val="center"/>
                </w:tcPr>
                <w:p w14:paraId="05714CE9">
                  <w:pPr>
                    <w:pStyle w:val="51"/>
                    <w:rPr>
                      <w:color w:val="auto"/>
                      <w:highlight w:val="none"/>
                    </w:rPr>
                  </w:pPr>
                  <w:r>
                    <w:rPr>
                      <w:color w:val="auto"/>
                      <w:highlight w:val="none"/>
                    </w:rPr>
                    <w:t>0.0953</w:t>
                  </w:r>
                </w:p>
              </w:tc>
              <w:tc>
                <w:tcPr>
                  <w:tcW w:w="1098" w:type="dxa"/>
                  <w:vAlign w:val="center"/>
                </w:tcPr>
                <w:p w14:paraId="66A04C7A">
                  <w:pPr>
                    <w:pStyle w:val="51"/>
                    <w:rPr>
                      <w:color w:val="auto"/>
                      <w:highlight w:val="none"/>
                    </w:rPr>
                  </w:pPr>
                  <w:r>
                    <w:rPr>
                      <w:color w:val="auto"/>
                      <w:highlight w:val="none"/>
                    </w:rPr>
                    <w:t>0.1291</w:t>
                  </w:r>
                </w:p>
              </w:tc>
              <w:tc>
                <w:tcPr>
                  <w:tcW w:w="1129" w:type="dxa"/>
                  <w:vAlign w:val="center"/>
                </w:tcPr>
                <w:p w14:paraId="2EA2C940">
                  <w:pPr>
                    <w:pStyle w:val="51"/>
                    <w:rPr>
                      <w:color w:val="auto"/>
                      <w:highlight w:val="none"/>
                    </w:rPr>
                  </w:pPr>
                  <w:r>
                    <w:rPr>
                      <w:color w:val="auto"/>
                      <w:highlight w:val="none"/>
                    </w:rPr>
                    <w:t>0.1602</w:t>
                  </w:r>
                </w:p>
              </w:tc>
              <w:tc>
                <w:tcPr>
                  <w:tcW w:w="1144" w:type="dxa"/>
                  <w:vAlign w:val="center"/>
                </w:tcPr>
                <w:p w14:paraId="360F696D">
                  <w:pPr>
                    <w:pStyle w:val="51"/>
                    <w:rPr>
                      <w:color w:val="auto"/>
                      <w:highlight w:val="none"/>
                    </w:rPr>
                  </w:pPr>
                  <w:r>
                    <w:rPr>
                      <w:color w:val="auto"/>
                      <w:highlight w:val="none"/>
                    </w:rPr>
                    <w:t>0.1894</w:t>
                  </w:r>
                </w:p>
              </w:tc>
              <w:tc>
                <w:tcPr>
                  <w:tcW w:w="1152" w:type="dxa"/>
                  <w:tcBorders>
                    <w:right w:val="nil"/>
                  </w:tcBorders>
                  <w:vAlign w:val="center"/>
                </w:tcPr>
                <w:p w14:paraId="084C57E3">
                  <w:pPr>
                    <w:pStyle w:val="51"/>
                    <w:rPr>
                      <w:color w:val="auto"/>
                      <w:highlight w:val="none"/>
                    </w:rPr>
                  </w:pPr>
                  <w:r>
                    <w:rPr>
                      <w:color w:val="auto"/>
                      <w:highlight w:val="none"/>
                    </w:rPr>
                    <w:t>0.3186</w:t>
                  </w:r>
                </w:p>
              </w:tc>
            </w:tr>
            <w:tr w14:paraId="5EE98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13" w:type="dxa"/>
                  <w:tcBorders>
                    <w:left w:val="nil"/>
                  </w:tcBorders>
                  <w:vAlign w:val="center"/>
                </w:tcPr>
                <w:p w14:paraId="34508FC8">
                  <w:pPr>
                    <w:pStyle w:val="51"/>
                    <w:rPr>
                      <w:color w:val="auto"/>
                      <w:highlight w:val="none"/>
                    </w:rPr>
                  </w:pPr>
                  <w:r>
                    <w:rPr>
                      <w:color w:val="auto"/>
                      <w:highlight w:val="none"/>
                    </w:rPr>
                    <w:t>15</w:t>
                  </w:r>
                </w:p>
              </w:tc>
              <w:tc>
                <w:tcPr>
                  <w:tcW w:w="854" w:type="dxa"/>
                  <w:vAlign w:val="center"/>
                </w:tcPr>
                <w:p w14:paraId="11A8CB31">
                  <w:pPr>
                    <w:pStyle w:val="51"/>
                    <w:rPr>
                      <w:color w:val="auto"/>
                      <w:highlight w:val="none"/>
                    </w:rPr>
                  </w:pPr>
                  <w:r>
                    <w:rPr>
                      <w:color w:val="auto"/>
                      <w:highlight w:val="none"/>
                    </w:rPr>
                    <w:t>0.0850</w:t>
                  </w:r>
                </w:p>
              </w:tc>
              <w:tc>
                <w:tcPr>
                  <w:tcW w:w="1034" w:type="dxa"/>
                  <w:vAlign w:val="center"/>
                </w:tcPr>
                <w:p w14:paraId="1387E0FC">
                  <w:pPr>
                    <w:pStyle w:val="51"/>
                    <w:rPr>
                      <w:color w:val="auto"/>
                      <w:highlight w:val="none"/>
                    </w:rPr>
                  </w:pPr>
                  <w:r>
                    <w:rPr>
                      <w:color w:val="auto"/>
                      <w:highlight w:val="none"/>
                    </w:rPr>
                    <w:t>0.1429</w:t>
                  </w:r>
                </w:p>
              </w:tc>
              <w:tc>
                <w:tcPr>
                  <w:tcW w:w="1098" w:type="dxa"/>
                  <w:vAlign w:val="center"/>
                </w:tcPr>
                <w:p w14:paraId="5ECED047">
                  <w:pPr>
                    <w:pStyle w:val="51"/>
                    <w:rPr>
                      <w:color w:val="auto"/>
                      <w:highlight w:val="none"/>
                    </w:rPr>
                  </w:pPr>
                  <w:r>
                    <w:rPr>
                      <w:color w:val="auto"/>
                      <w:highlight w:val="none"/>
                    </w:rPr>
                    <w:t>0.1937</w:t>
                  </w:r>
                </w:p>
              </w:tc>
              <w:tc>
                <w:tcPr>
                  <w:tcW w:w="1129" w:type="dxa"/>
                  <w:vAlign w:val="center"/>
                </w:tcPr>
                <w:p w14:paraId="3F191E7E">
                  <w:pPr>
                    <w:pStyle w:val="51"/>
                    <w:rPr>
                      <w:color w:val="auto"/>
                      <w:highlight w:val="none"/>
                    </w:rPr>
                  </w:pPr>
                  <w:r>
                    <w:rPr>
                      <w:color w:val="auto"/>
                      <w:highlight w:val="none"/>
                    </w:rPr>
                    <w:t>0.2403</w:t>
                  </w:r>
                </w:p>
              </w:tc>
              <w:tc>
                <w:tcPr>
                  <w:tcW w:w="1144" w:type="dxa"/>
                  <w:vAlign w:val="center"/>
                </w:tcPr>
                <w:p w14:paraId="41B3946D">
                  <w:pPr>
                    <w:pStyle w:val="51"/>
                    <w:rPr>
                      <w:color w:val="auto"/>
                      <w:highlight w:val="none"/>
                    </w:rPr>
                  </w:pPr>
                  <w:r>
                    <w:rPr>
                      <w:color w:val="auto"/>
                      <w:highlight w:val="none"/>
                    </w:rPr>
                    <w:t>0.2841</w:t>
                  </w:r>
                </w:p>
              </w:tc>
              <w:tc>
                <w:tcPr>
                  <w:tcW w:w="1152" w:type="dxa"/>
                  <w:tcBorders>
                    <w:right w:val="nil"/>
                  </w:tcBorders>
                  <w:vAlign w:val="center"/>
                </w:tcPr>
                <w:p w14:paraId="2151EC78">
                  <w:pPr>
                    <w:pStyle w:val="51"/>
                    <w:rPr>
                      <w:color w:val="auto"/>
                      <w:highlight w:val="none"/>
                    </w:rPr>
                  </w:pPr>
                  <w:r>
                    <w:rPr>
                      <w:color w:val="auto"/>
                      <w:highlight w:val="none"/>
                    </w:rPr>
                    <w:t>0.778</w:t>
                  </w:r>
                </w:p>
              </w:tc>
            </w:tr>
            <w:tr w14:paraId="0EA3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13" w:type="dxa"/>
                  <w:tcBorders>
                    <w:left w:val="nil"/>
                    <w:bottom w:val="single" w:color="auto" w:sz="12" w:space="0"/>
                  </w:tcBorders>
                  <w:vAlign w:val="center"/>
                </w:tcPr>
                <w:p w14:paraId="40E1E7FB">
                  <w:pPr>
                    <w:pStyle w:val="51"/>
                    <w:rPr>
                      <w:color w:val="auto"/>
                      <w:highlight w:val="none"/>
                    </w:rPr>
                  </w:pPr>
                  <w:r>
                    <w:rPr>
                      <w:color w:val="auto"/>
                      <w:highlight w:val="none"/>
                    </w:rPr>
                    <w:t>20</w:t>
                  </w:r>
                </w:p>
              </w:tc>
              <w:tc>
                <w:tcPr>
                  <w:tcW w:w="854" w:type="dxa"/>
                  <w:tcBorders>
                    <w:bottom w:val="single" w:color="auto" w:sz="12" w:space="0"/>
                  </w:tcBorders>
                  <w:vAlign w:val="center"/>
                </w:tcPr>
                <w:p w14:paraId="358D59EE">
                  <w:pPr>
                    <w:pStyle w:val="51"/>
                    <w:rPr>
                      <w:color w:val="auto"/>
                      <w:highlight w:val="none"/>
                    </w:rPr>
                  </w:pPr>
                  <w:r>
                    <w:rPr>
                      <w:color w:val="auto"/>
                      <w:highlight w:val="none"/>
                    </w:rPr>
                    <w:t>0.1133</w:t>
                  </w:r>
                </w:p>
              </w:tc>
              <w:tc>
                <w:tcPr>
                  <w:tcW w:w="1034" w:type="dxa"/>
                  <w:tcBorders>
                    <w:bottom w:val="single" w:color="auto" w:sz="12" w:space="0"/>
                  </w:tcBorders>
                  <w:vAlign w:val="center"/>
                </w:tcPr>
                <w:p w14:paraId="0ABFDFD3">
                  <w:pPr>
                    <w:pStyle w:val="51"/>
                    <w:rPr>
                      <w:color w:val="auto"/>
                      <w:highlight w:val="none"/>
                    </w:rPr>
                  </w:pPr>
                  <w:r>
                    <w:rPr>
                      <w:color w:val="auto"/>
                      <w:highlight w:val="none"/>
                    </w:rPr>
                    <w:t>0.1905</w:t>
                  </w:r>
                </w:p>
              </w:tc>
              <w:tc>
                <w:tcPr>
                  <w:tcW w:w="1098" w:type="dxa"/>
                  <w:tcBorders>
                    <w:bottom w:val="single" w:color="auto" w:sz="12" w:space="0"/>
                  </w:tcBorders>
                  <w:vAlign w:val="center"/>
                </w:tcPr>
                <w:p w14:paraId="7DFA4564">
                  <w:pPr>
                    <w:pStyle w:val="51"/>
                    <w:rPr>
                      <w:color w:val="auto"/>
                      <w:highlight w:val="none"/>
                    </w:rPr>
                  </w:pPr>
                  <w:r>
                    <w:rPr>
                      <w:color w:val="auto"/>
                      <w:highlight w:val="none"/>
                    </w:rPr>
                    <w:t>0.2583</w:t>
                  </w:r>
                </w:p>
              </w:tc>
              <w:tc>
                <w:tcPr>
                  <w:tcW w:w="1129" w:type="dxa"/>
                  <w:tcBorders>
                    <w:bottom w:val="single" w:color="auto" w:sz="12" w:space="0"/>
                  </w:tcBorders>
                  <w:vAlign w:val="center"/>
                </w:tcPr>
                <w:p w14:paraId="0544FFD3">
                  <w:pPr>
                    <w:pStyle w:val="51"/>
                    <w:rPr>
                      <w:color w:val="auto"/>
                      <w:highlight w:val="none"/>
                    </w:rPr>
                  </w:pPr>
                  <w:r>
                    <w:rPr>
                      <w:color w:val="auto"/>
                      <w:highlight w:val="none"/>
                    </w:rPr>
                    <w:t>0.320</w:t>
                  </w:r>
                </w:p>
              </w:tc>
              <w:tc>
                <w:tcPr>
                  <w:tcW w:w="1144" w:type="dxa"/>
                  <w:tcBorders>
                    <w:bottom w:val="single" w:color="auto" w:sz="12" w:space="0"/>
                  </w:tcBorders>
                  <w:vAlign w:val="center"/>
                </w:tcPr>
                <w:p w14:paraId="4316E3BF">
                  <w:pPr>
                    <w:pStyle w:val="51"/>
                    <w:rPr>
                      <w:color w:val="auto"/>
                      <w:highlight w:val="none"/>
                    </w:rPr>
                  </w:pPr>
                  <w:r>
                    <w:rPr>
                      <w:color w:val="auto"/>
                      <w:highlight w:val="none"/>
                    </w:rPr>
                    <w:t>0.788</w:t>
                  </w:r>
                </w:p>
              </w:tc>
              <w:tc>
                <w:tcPr>
                  <w:tcW w:w="1152" w:type="dxa"/>
                  <w:tcBorders>
                    <w:bottom w:val="single" w:color="auto" w:sz="12" w:space="0"/>
                    <w:right w:val="nil"/>
                  </w:tcBorders>
                  <w:vAlign w:val="center"/>
                </w:tcPr>
                <w:p w14:paraId="602BE2A9">
                  <w:pPr>
                    <w:pStyle w:val="51"/>
                    <w:rPr>
                      <w:color w:val="auto"/>
                      <w:highlight w:val="none"/>
                    </w:rPr>
                  </w:pPr>
                  <w:r>
                    <w:rPr>
                      <w:color w:val="auto"/>
                      <w:highlight w:val="none"/>
                    </w:rPr>
                    <w:t>0.6371</w:t>
                  </w:r>
                </w:p>
              </w:tc>
            </w:tr>
          </w:tbl>
          <w:p w14:paraId="2E2C1E34">
            <w:pPr>
              <w:pStyle w:val="56"/>
              <w:ind w:firstLine="420"/>
              <w:rPr>
                <w:color w:val="auto"/>
                <w:highlight w:val="none"/>
              </w:rPr>
            </w:pPr>
            <w:r>
              <w:rPr>
                <w:rFonts w:hint="eastAsia"/>
                <w:color w:val="auto"/>
                <w:highlight w:val="none"/>
              </w:rPr>
              <w:t>一般情况下，在自然风作用下，道路扬尘影响范围在100m以内。</w:t>
            </w:r>
            <w:r>
              <w:rPr>
                <w:color w:val="auto"/>
                <w:highlight w:val="none"/>
              </w:rPr>
              <w:t>如果在施工期间对车辆行驶的路面实施洒水抑尘，每天洒水4～5次，可使扬尘减少70%左右。表4-</w:t>
            </w:r>
            <w:r>
              <w:rPr>
                <w:rFonts w:hint="eastAsia"/>
                <w:color w:val="auto"/>
                <w:highlight w:val="none"/>
                <w:lang w:val="en-US" w:eastAsia="zh-CN"/>
              </w:rPr>
              <w:t>3</w:t>
            </w:r>
            <w:r>
              <w:rPr>
                <w:color w:val="auto"/>
                <w:highlight w:val="none"/>
              </w:rPr>
              <w:t>为施工场地洒水抑尘的试验结果，结果表明实施每天洒水4～5次进行抑尘，可有效地控制施工扬尘，可将TSP污染距离缩小到20～50m范围。</w:t>
            </w:r>
          </w:p>
          <w:p w14:paraId="6D8F8808">
            <w:pPr>
              <w:pStyle w:val="6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highlight w:val="none"/>
              </w:rPr>
            </w:pPr>
            <w:r>
              <w:rPr>
                <w:color w:val="auto"/>
                <w:highlight w:val="none"/>
              </w:rPr>
              <w:t>表4-</w:t>
            </w:r>
            <w:r>
              <w:rPr>
                <w:rFonts w:hint="eastAsia"/>
                <w:color w:val="auto"/>
                <w:highlight w:val="none"/>
                <w:lang w:val="en-US" w:eastAsia="zh-CN"/>
              </w:rPr>
              <w:t xml:space="preserve">3 </w:t>
            </w:r>
            <w:r>
              <w:rPr>
                <w:color w:val="auto"/>
                <w:highlight w:val="none"/>
              </w:rPr>
              <w:t xml:space="preserve"> 施工场地洒水抑尘试验结果</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4"/>
              <w:gridCol w:w="1438"/>
              <w:gridCol w:w="1034"/>
              <w:gridCol w:w="878"/>
              <w:gridCol w:w="902"/>
              <w:gridCol w:w="878"/>
            </w:tblGrid>
            <w:tr w14:paraId="319A0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4" w:type="pct"/>
                  <w:gridSpan w:val="2"/>
                  <w:vAlign w:val="center"/>
                </w:tcPr>
                <w:p w14:paraId="36627E43">
                  <w:pPr>
                    <w:pStyle w:val="51"/>
                    <w:rPr>
                      <w:color w:val="auto"/>
                      <w:highlight w:val="none"/>
                    </w:rPr>
                  </w:pPr>
                  <w:r>
                    <w:rPr>
                      <w:color w:val="auto"/>
                      <w:highlight w:val="none"/>
                    </w:rPr>
                    <w:t>距离（m）</w:t>
                  </w:r>
                </w:p>
              </w:tc>
              <w:tc>
                <w:tcPr>
                  <w:tcW w:w="688" w:type="pct"/>
                  <w:vAlign w:val="center"/>
                </w:tcPr>
                <w:p w14:paraId="7B92A4C8">
                  <w:pPr>
                    <w:pStyle w:val="51"/>
                    <w:rPr>
                      <w:color w:val="auto"/>
                      <w:highlight w:val="none"/>
                    </w:rPr>
                  </w:pPr>
                  <w:r>
                    <w:rPr>
                      <w:color w:val="auto"/>
                      <w:highlight w:val="none"/>
                    </w:rPr>
                    <w:t>5</w:t>
                  </w:r>
                </w:p>
              </w:tc>
              <w:tc>
                <w:tcPr>
                  <w:tcW w:w="584" w:type="pct"/>
                  <w:vAlign w:val="center"/>
                </w:tcPr>
                <w:p w14:paraId="43C881B2">
                  <w:pPr>
                    <w:pStyle w:val="51"/>
                    <w:rPr>
                      <w:color w:val="auto"/>
                      <w:highlight w:val="none"/>
                    </w:rPr>
                  </w:pPr>
                  <w:r>
                    <w:rPr>
                      <w:color w:val="auto"/>
                      <w:highlight w:val="none"/>
                    </w:rPr>
                    <w:t>20</w:t>
                  </w:r>
                </w:p>
              </w:tc>
              <w:tc>
                <w:tcPr>
                  <w:tcW w:w="600" w:type="pct"/>
                  <w:vAlign w:val="center"/>
                </w:tcPr>
                <w:p w14:paraId="7E245902">
                  <w:pPr>
                    <w:pStyle w:val="51"/>
                    <w:rPr>
                      <w:color w:val="auto"/>
                      <w:highlight w:val="none"/>
                    </w:rPr>
                  </w:pPr>
                  <w:r>
                    <w:rPr>
                      <w:color w:val="auto"/>
                      <w:highlight w:val="none"/>
                    </w:rPr>
                    <w:t>50</w:t>
                  </w:r>
                </w:p>
              </w:tc>
              <w:tc>
                <w:tcPr>
                  <w:tcW w:w="584" w:type="pct"/>
                  <w:vAlign w:val="center"/>
                </w:tcPr>
                <w:p w14:paraId="5377AFA4">
                  <w:pPr>
                    <w:pStyle w:val="51"/>
                    <w:rPr>
                      <w:color w:val="auto"/>
                      <w:highlight w:val="none"/>
                    </w:rPr>
                  </w:pPr>
                  <w:r>
                    <w:rPr>
                      <w:color w:val="auto"/>
                      <w:highlight w:val="none"/>
                    </w:rPr>
                    <w:t>100</w:t>
                  </w:r>
                </w:p>
              </w:tc>
            </w:tr>
            <w:tr w14:paraId="78A6E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7" w:type="pct"/>
                  <w:vMerge w:val="restart"/>
                  <w:vAlign w:val="center"/>
                </w:tcPr>
                <w:p w14:paraId="7C3CD878">
                  <w:pPr>
                    <w:pStyle w:val="51"/>
                    <w:rPr>
                      <w:color w:val="auto"/>
                      <w:highlight w:val="none"/>
                    </w:rPr>
                  </w:pPr>
                  <w:r>
                    <w:rPr>
                      <w:color w:val="auto"/>
                      <w:highlight w:val="none"/>
                    </w:rPr>
                    <w:t>TSP小时平均浓度</w:t>
                  </w:r>
                </w:p>
                <w:p w14:paraId="45497E23">
                  <w:pPr>
                    <w:pStyle w:val="51"/>
                    <w:rPr>
                      <w:color w:val="auto"/>
                      <w:highlight w:val="none"/>
                    </w:rPr>
                  </w:pPr>
                  <w:r>
                    <w:rPr>
                      <w:color w:val="auto"/>
                      <w:highlight w:val="none"/>
                    </w:rPr>
                    <w:t>（mg/m</w:t>
                  </w:r>
                  <w:r>
                    <w:rPr>
                      <w:color w:val="auto"/>
                      <w:highlight w:val="none"/>
                      <w:vertAlign w:val="superscript"/>
                    </w:rPr>
                    <w:t>3</w:t>
                  </w:r>
                  <w:r>
                    <w:rPr>
                      <w:color w:val="auto"/>
                      <w:highlight w:val="none"/>
                    </w:rPr>
                    <w:t>）</w:t>
                  </w:r>
                </w:p>
              </w:tc>
              <w:tc>
                <w:tcPr>
                  <w:tcW w:w="957" w:type="pct"/>
                  <w:vAlign w:val="center"/>
                </w:tcPr>
                <w:p w14:paraId="2F78D903">
                  <w:pPr>
                    <w:pStyle w:val="51"/>
                    <w:rPr>
                      <w:color w:val="auto"/>
                      <w:highlight w:val="none"/>
                    </w:rPr>
                  </w:pPr>
                  <w:r>
                    <w:rPr>
                      <w:color w:val="auto"/>
                      <w:highlight w:val="none"/>
                    </w:rPr>
                    <w:t>不洒水</w:t>
                  </w:r>
                </w:p>
              </w:tc>
              <w:tc>
                <w:tcPr>
                  <w:tcW w:w="688" w:type="pct"/>
                  <w:vAlign w:val="center"/>
                </w:tcPr>
                <w:p w14:paraId="4A2A08D4">
                  <w:pPr>
                    <w:pStyle w:val="51"/>
                    <w:rPr>
                      <w:color w:val="auto"/>
                      <w:highlight w:val="none"/>
                    </w:rPr>
                  </w:pPr>
                  <w:r>
                    <w:rPr>
                      <w:color w:val="auto"/>
                      <w:highlight w:val="none"/>
                    </w:rPr>
                    <w:t>10.14</w:t>
                  </w:r>
                </w:p>
              </w:tc>
              <w:tc>
                <w:tcPr>
                  <w:tcW w:w="584" w:type="pct"/>
                  <w:vAlign w:val="center"/>
                </w:tcPr>
                <w:p w14:paraId="49A18475">
                  <w:pPr>
                    <w:pStyle w:val="51"/>
                    <w:rPr>
                      <w:color w:val="auto"/>
                      <w:highlight w:val="none"/>
                    </w:rPr>
                  </w:pPr>
                  <w:r>
                    <w:rPr>
                      <w:color w:val="auto"/>
                      <w:highlight w:val="none"/>
                    </w:rPr>
                    <w:t>2.89</w:t>
                  </w:r>
                </w:p>
              </w:tc>
              <w:tc>
                <w:tcPr>
                  <w:tcW w:w="600" w:type="pct"/>
                  <w:vAlign w:val="center"/>
                </w:tcPr>
                <w:p w14:paraId="5463555E">
                  <w:pPr>
                    <w:pStyle w:val="51"/>
                    <w:rPr>
                      <w:color w:val="auto"/>
                      <w:highlight w:val="none"/>
                    </w:rPr>
                  </w:pPr>
                  <w:r>
                    <w:rPr>
                      <w:color w:val="auto"/>
                      <w:highlight w:val="none"/>
                    </w:rPr>
                    <w:t>1.15</w:t>
                  </w:r>
                </w:p>
              </w:tc>
              <w:tc>
                <w:tcPr>
                  <w:tcW w:w="584" w:type="pct"/>
                  <w:vAlign w:val="center"/>
                </w:tcPr>
                <w:p w14:paraId="01CEE153">
                  <w:pPr>
                    <w:pStyle w:val="51"/>
                    <w:rPr>
                      <w:color w:val="auto"/>
                      <w:highlight w:val="none"/>
                    </w:rPr>
                  </w:pPr>
                  <w:r>
                    <w:rPr>
                      <w:color w:val="auto"/>
                      <w:highlight w:val="none"/>
                    </w:rPr>
                    <w:t>0.86</w:t>
                  </w:r>
                </w:p>
              </w:tc>
            </w:tr>
            <w:tr w14:paraId="6E2497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7" w:type="pct"/>
                  <w:vMerge w:val="continue"/>
                  <w:vAlign w:val="center"/>
                </w:tcPr>
                <w:p w14:paraId="373A98B0">
                  <w:pPr>
                    <w:pStyle w:val="51"/>
                    <w:rPr>
                      <w:color w:val="auto"/>
                      <w:highlight w:val="none"/>
                    </w:rPr>
                  </w:pPr>
                </w:p>
              </w:tc>
              <w:tc>
                <w:tcPr>
                  <w:tcW w:w="957" w:type="pct"/>
                  <w:vAlign w:val="center"/>
                </w:tcPr>
                <w:p w14:paraId="5E005BBF">
                  <w:pPr>
                    <w:pStyle w:val="51"/>
                    <w:rPr>
                      <w:color w:val="auto"/>
                      <w:highlight w:val="none"/>
                    </w:rPr>
                  </w:pPr>
                  <w:r>
                    <w:rPr>
                      <w:color w:val="auto"/>
                      <w:highlight w:val="none"/>
                    </w:rPr>
                    <w:t>洒水</w:t>
                  </w:r>
                </w:p>
              </w:tc>
              <w:tc>
                <w:tcPr>
                  <w:tcW w:w="688" w:type="pct"/>
                  <w:vAlign w:val="center"/>
                </w:tcPr>
                <w:p w14:paraId="4ECC96FC">
                  <w:pPr>
                    <w:pStyle w:val="51"/>
                    <w:rPr>
                      <w:color w:val="auto"/>
                      <w:highlight w:val="none"/>
                    </w:rPr>
                  </w:pPr>
                  <w:r>
                    <w:rPr>
                      <w:color w:val="auto"/>
                      <w:highlight w:val="none"/>
                    </w:rPr>
                    <w:t>2.01</w:t>
                  </w:r>
                </w:p>
              </w:tc>
              <w:tc>
                <w:tcPr>
                  <w:tcW w:w="584" w:type="pct"/>
                  <w:vAlign w:val="center"/>
                </w:tcPr>
                <w:p w14:paraId="19C93145">
                  <w:pPr>
                    <w:pStyle w:val="51"/>
                    <w:rPr>
                      <w:color w:val="auto"/>
                      <w:highlight w:val="none"/>
                    </w:rPr>
                  </w:pPr>
                  <w:r>
                    <w:rPr>
                      <w:color w:val="auto"/>
                      <w:highlight w:val="none"/>
                    </w:rPr>
                    <w:t>1.20</w:t>
                  </w:r>
                </w:p>
              </w:tc>
              <w:tc>
                <w:tcPr>
                  <w:tcW w:w="600" w:type="pct"/>
                  <w:vAlign w:val="center"/>
                </w:tcPr>
                <w:p w14:paraId="5673D0DF">
                  <w:pPr>
                    <w:pStyle w:val="51"/>
                    <w:rPr>
                      <w:color w:val="auto"/>
                      <w:highlight w:val="none"/>
                    </w:rPr>
                  </w:pPr>
                  <w:r>
                    <w:rPr>
                      <w:color w:val="auto"/>
                      <w:highlight w:val="none"/>
                    </w:rPr>
                    <w:t>0.867</w:t>
                  </w:r>
                </w:p>
              </w:tc>
              <w:tc>
                <w:tcPr>
                  <w:tcW w:w="584" w:type="pct"/>
                  <w:vAlign w:val="center"/>
                </w:tcPr>
                <w:p w14:paraId="3420ECAE">
                  <w:pPr>
                    <w:pStyle w:val="51"/>
                    <w:rPr>
                      <w:color w:val="auto"/>
                      <w:highlight w:val="none"/>
                    </w:rPr>
                  </w:pPr>
                  <w:r>
                    <w:rPr>
                      <w:color w:val="auto"/>
                      <w:highlight w:val="none"/>
                    </w:rPr>
                    <w:t>0.60</w:t>
                  </w:r>
                </w:p>
              </w:tc>
            </w:tr>
          </w:tbl>
          <w:p w14:paraId="0CDE2746">
            <w:pPr>
              <w:pStyle w:val="56"/>
              <w:ind w:firstLine="420"/>
              <w:rPr>
                <w:color w:val="auto"/>
                <w:highlight w:val="none"/>
              </w:rPr>
            </w:pPr>
            <w:r>
              <w:rPr>
                <w:color w:val="auto"/>
                <w:highlight w:val="none"/>
              </w:rPr>
              <w:t>因此，限速行驶及保持路面清洁，同时适当洒水是减少汽车扬尘的有效手段</w:t>
            </w:r>
            <w:r>
              <w:rPr>
                <w:rFonts w:hint="eastAsia"/>
                <w:color w:val="auto"/>
                <w:highlight w:val="none"/>
              </w:rPr>
              <w:t>，采取以上措施后对施工扬尘周边敏感目标影响较小。</w:t>
            </w:r>
          </w:p>
          <w:p w14:paraId="5AA43A73">
            <w:pPr>
              <w:adjustRightInd w:val="0"/>
              <w:snapToGrid w:val="0"/>
              <w:spacing w:line="360" w:lineRule="auto"/>
              <w:ind w:firstLine="420" w:firstLineChars="200"/>
              <w:rPr>
                <w:bCs/>
                <w:color w:val="auto"/>
                <w:sz w:val="21"/>
                <w:szCs w:val="21"/>
                <w:highlight w:val="none"/>
              </w:rPr>
            </w:pPr>
            <w:r>
              <w:rPr>
                <w:color w:val="auto"/>
                <w:sz w:val="21"/>
                <w:szCs w:val="21"/>
                <w:highlight w:val="none"/>
              </w:rPr>
              <w:t>（</w:t>
            </w:r>
            <w:r>
              <w:rPr>
                <w:rFonts w:hint="eastAsia"/>
                <w:color w:val="auto"/>
                <w:sz w:val="21"/>
                <w:szCs w:val="21"/>
                <w:highlight w:val="none"/>
                <w:lang w:val="en-US" w:eastAsia="zh-CN"/>
              </w:rPr>
              <w:t>3</w:t>
            </w:r>
            <w:r>
              <w:rPr>
                <w:color w:val="auto"/>
                <w:sz w:val="21"/>
                <w:szCs w:val="21"/>
                <w:highlight w:val="none"/>
              </w:rPr>
              <w:t>）</w:t>
            </w:r>
            <w:r>
              <w:rPr>
                <w:bCs/>
                <w:color w:val="auto"/>
                <w:sz w:val="21"/>
                <w:szCs w:val="21"/>
                <w:highlight w:val="none"/>
              </w:rPr>
              <w:t>施工机械废气及施工车辆尾气对环境的影响分析</w:t>
            </w:r>
          </w:p>
          <w:p w14:paraId="6CB6BE49">
            <w:pPr>
              <w:keepNext w:val="0"/>
              <w:keepLines w:val="0"/>
              <w:pageBreakBefore w:val="0"/>
              <w:widowControl w:val="0"/>
              <w:kinsoku/>
              <w:wordWrap/>
              <w:overflowPunct/>
              <w:topLinePunct w:val="0"/>
              <w:autoSpaceDE/>
              <w:autoSpaceDN/>
              <w:bidi w:val="0"/>
              <w:spacing w:line="360" w:lineRule="auto"/>
              <w:ind w:firstLine="420" w:firstLineChars="200"/>
              <w:textAlignment w:val="auto"/>
              <w:rPr>
                <w:color w:val="auto"/>
                <w:sz w:val="21"/>
                <w:szCs w:val="21"/>
                <w:highlight w:val="none"/>
              </w:rPr>
            </w:pPr>
            <w:r>
              <w:rPr>
                <w:color w:val="auto"/>
                <w:sz w:val="21"/>
                <w:szCs w:val="21"/>
                <w:highlight w:val="none"/>
              </w:rPr>
              <w:t>施工机械的燃油废气基本是在施工作业区域内以</w:t>
            </w:r>
            <w:r>
              <w:rPr>
                <w:rFonts w:hint="eastAsia"/>
                <w:color w:val="auto"/>
                <w:sz w:val="21"/>
                <w:szCs w:val="21"/>
                <w:highlight w:val="none"/>
              </w:rPr>
              <w:t>面</w:t>
            </w:r>
            <w:r>
              <w:rPr>
                <w:color w:val="auto"/>
                <w:sz w:val="21"/>
                <w:szCs w:val="21"/>
                <w:highlight w:val="none"/>
              </w:rPr>
              <w:t>源形式排放，燃油废气中所含的主要污染物为CO、</w:t>
            </w:r>
            <w:r>
              <w:rPr>
                <w:rFonts w:eastAsia="仿宋_GB2312"/>
                <w:color w:val="auto"/>
                <w:sz w:val="21"/>
                <w:szCs w:val="21"/>
                <w:highlight w:val="none"/>
              </w:rPr>
              <w:t>NO</w:t>
            </w:r>
            <w:r>
              <w:rPr>
                <w:color w:val="auto"/>
                <w:sz w:val="21"/>
                <w:szCs w:val="21"/>
                <w:highlight w:val="none"/>
                <w:vertAlign w:val="subscript"/>
              </w:rPr>
              <w:t>x</w:t>
            </w:r>
            <w:r>
              <w:rPr>
                <w:color w:val="auto"/>
                <w:sz w:val="21"/>
                <w:szCs w:val="21"/>
                <w:highlight w:val="none"/>
              </w:rPr>
              <w:t>、THC等。由于工程施工营地地形开阔，空气流通性好，加之废气排放的不连续性，燃油机械排放废气中的各项污染物能够很快稀释扩散，对敏感目标所在区域环境空气质量影响较小。</w:t>
            </w:r>
          </w:p>
          <w:p w14:paraId="78E9509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柴油发电机运行时也将产生废气。根据《大气污染工程师手册》，当空气过剩系数为1时，1kg柴油产生的烟气量约为11Nm</w:t>
            </w:r>
            <w:r>
              <w:rPr>
                <w:color w:val="auto"/>
                <w:sz w:val="21"/>
                <w:szCs w:val="21"/>
                <w:highlight w:val="none"/>
                <w:vertAlign w:val="superscript"/>
              </w:rPr>
              <w:t>3</w:t>
            </w:r>
            <w:r>
              <w:rPr>
                <w:color w:val="auto"/>
                <w:sz w:val="21"/>
                <w:szCs w:val="21"/>
                <w:highlight w:val="none"/>
              </w:rPr>
              <w:t>。一般柴油发电机空气过剩系数为1.8，则发电机每燃烧1kg柴油产生的烟气量为20Nm</w:t>
            </w:r>
            <w:r>
              <w:rPr>
                <w:color w:val="auto"/>
                <w:sz w:val="21"/>
                <w:szCs w:val="21"/>
                <w:highlight w:val="none"/>
                <w:vertAlign w:val="superscript"/>
              </w:rPr>
              <w:t>3</w:t>
            </w:r>
            <w:r>
              <w:rPr>
                <w:color w:val="auto"/>
                <w:sz w:val="21"/>
                <w:szCs w:val="21"/>
                <w:highlight w:val="none"/>
              </w:rPr>
              <w:t>，NOx产生系数为2.86kg/m</w:t>
            </w:r>
            <w:r>
              <w:rPr>
                <w:color w:val="auto"/>
                <w:sz w:val="21"/>
                <w:szCs w:val="21"/>
                <w:highlight w:val="none"/>
                <w:vertAlign w:val="superscript"/>
              </w:rPr>
              <w:t>3</w:t>
            </w:r>
            <w:r>
              <w:rPr>
                <w:color w:val="auto"/>
                <w:sz w:val="21"/>
                <w:szCs w:val="21"/>
                <w:highlight w:val="none"/>
              </w:rPr>
              <w:t>，所以NOx产生系数可换算为3.36（kg/t油）；SO</w:t>
            </w:r>
            <w:r>
              <w:rPr>
                <w:color w:val="auto"/>
                <w:sz w:val="21"/>
                <w:szCs w:val="21"/>
                <w:highlight w:val="none"/>
                <w:vertAlign w:val="subscript"/>
              </w:rPr>
              <w:t>2</w:t>
            </w:r>
            <w:r>
              <w:rPr>
                <w:color w:val="auto"/>
                <w:sz w:val="21"/>
                <w:szCs w:val="21"/>
                <w:highlight w:val="none"/>
              </w:rPr>
              <w:t>的产污系数为20S（kg/t油），S*为硫的百分含量%，本次取0.2%；烟尘产生系数为2.2（kg/t油）。</w:t>
            </w:r>
          </w:p>
          <w:p w14:paraId="77F1E3F6">
            <w:pPr>
              <w:keepNext w:val="0"/>
              <w:keepLines w:val="0"/>
              <w:pageBreakBefore w:val="0"/>
              <w:widowControl w:val="0"/>
              <w:kinsoku/>
              <w:wordWrap/>
              <w:overflowPunct/>
              <w:topLinePunct w:val="0"/>
              <w:autoSpaceDE/>
              <w:autoSpaceDN/>
              <w:bidi w:val="0"/>
              <w:spacing w:line="360" w:lineRule="auto"/>
              <w:ind w:firstLine="420" w:firstLineChars="200"/>
              <w:textAlignment w:val="auto"/>
              <w:rPr>
                <w:color w:val="auto"/>
                <w:sz w:val="21"/>
                <w:szCs w:val="21"/>
                <w:highlight w:val="none"/>
              </w:rPr>
            </w:pPr>
            <w:r>
              <w:rPr>
                <w:color w:val="auto"/>
                <w:sz w:val="21"/>
                <w:szCs w:val="21"/>
                <w:highlight w:val="none"/>
              </w:rPr>
              <w:t>运输车辆的尾气是沿交通路线沿程以线源形式排放。车辆尾气中所含的主要污染物为CO、</w:t>
            </w:r>
            <w:r>
              <w:rPr>
                <w:rFonts w:eastAsia="仿宋_GB2312"/>
                <w:color w:val="auto"/>
                <w:sz w:val="21"/>
                <w:szCs w:val="21"/>
                <w:highlight w:val="none"/>
              </w:rPr>
              <w:t>NO</w:t>
            </w:r>
            <w:r>
              <w:rPr>
                <w:color w:val="auto"/>
                <w:sz w:val="21"/>
                <w:szCs w:val="21"/>
                <w:highlight w:val="none"/>
                <w:vertAlign w:val="subscript"/>
              </w:rPr>
              <w:t>x</w:t>
            </w:r>
            <w:r>
              <w:rPr>
                <w:color w:val="auto"/>
                <w:sz w:val="21"/>
                <w:szCs w:val="21"/>
                <w:highlight w:val="none"/>
              </w:rPr>
              <w:t>、THC等。施工期间预计经过居民点时的运输车流量在</w:t>
            </w:r>
            <w:r>
              <w:rPr>
                <w:rFonts w:eastAsia="仿宋_GB2312"/>
                <w:color w:val="auto"/>
                <w:sz w:val="21"/>
                <w:szCs w:val="21"/>
                <w:highlight w:val="none"/>
              </w:rPr>
              <w:t>10</w:t>
            </w:r>
            <w:r>
              <w:rPr>
                <w:color w:val="auto"/>
                <w:sz w:val="21"/>
                <w:szCs w:val="21"/>
                <w:highlight w:val="none"/>
              </w:rPr>
              <w:t>辆</w:t>
            </w:r>
            <w:r>
              <w:rPr>
                <w:rFonts w:eastAsia="仿宋_GB2312"/>
                <w:color w:val="auto"/>
                <w:sz w:val="21"/>
                <w:szCs w:val="21"/>
                <w:highlight w:val="none"/>
              </w:rPr>
              <w:t>/h</w:t>
            </w:r>
            <w:r>
              <w:rPr>
                <w:color w:val="auto"/>
                <w:sz w:val="21"/>
                <w:szCs w:val="21"/>
                <w:highlight w:val="none"/>
              </w:rPr>
              <w:t>之内，单车排放的大气污染物的扩散、稀释后，对敏感地区产生的浓度贡献值很小，因此，运输车辆排放的废气污染物只会引起局部大气环境质量的短暂下降，对区域的环境空气质量影响较小。</w:t>
            </w:r>
          </w:p>
          <w:p w14:paraId="546B106F">
            <w:pPr>
              <w:pStyle w:val="56"/>
              <w:ind w:firstLine="420"/>
              <w:rPr>
                <w:rFonts w:hint="eastAsia"/>
                <w:color w:val="auto"/>
                <w:highlight w:val="none"/>
                <w:lang w:val="en-US" w:eastAsia="zh-CN"/>
              </w:rPr>
            </w:pPr>
            <w:r>
              <w:rPr>
                <w:rFonts w:hint="eastAsia"/>
                <w:color w:val="auto"/>
                <w:highlight w:val="none"/>
                <w:lang w:val="en-US" w:eastAsia="zh-CN"/>
              </w:rPr>
              <w:t>（4）施工扬尘、粉尘对环境敏感区的影响</w:t>
            </w:r>
          </w:p>
          <w:p w14:paraId="6B77EB39">
            <w:pPr>
              <w:pStyle w:val="56"/>
              <w:ind w:firstLine="420"/>
              <w:rPr>
                <w:rFonts w:hint="eastAsia"/>
                <w:color w:val="auto"/>
                <w:highlight w:val="none"/>
                <w:lang w:val="en-US" w:eastAsia="zh-CN"/>
              </w:rPr>
            </w:pPr>
            <w:r>
              <w:rPr>
                <w:rFonts w:hint="eastAsia"/>
                <w:color w:val="auto"/>
                <w:highlight w:val="none"/>
                <w:lang w:val="en-US" w:eastAsia="zh-CN"/>
              </w:rPr>
              <w:t>项目位于</w:t>
            </w:r>
            <w:r>
              <w:rPr>
                <w:rFonts w:hint="default" w:ascii="Times New Roman" w:hAnsi="Times New Roman" w:eastAsia="宋体" w:cs="Times New Roman"/>
                <w:color w:val="auto"/>
                <w:kern w:val="2"/>
                <w:sz w:val="21"/>
                <w:szCs w:val="24"/>
                <w:highlight w:val="none"/>
                <w:lang w:val="en-US" w:eastAsia="zh-CN" w:bidi="ar-SA"/>
              </w:rPr>
              <w:t>黑龙江乌苏里江国家湿地公园生态保育区内</w:t>
            </w:r>
            <w:r>
              <w:rPr>
                <w:rFonts w:hint="eastAsia" w:ascii="Times New Roman" w:hAnsi="Times New Roman" w:eastAsia="宋体" w:cs="Times New Roman"/>
                <w:color w:val="auto"/>
                <w:kern w:val="2"/>
                <w:sz w:val="21"/>
                <w:szCs w:val="24"/>
                <w:highlight w:val="none"/>
                <w:lang w:val="en-US" w:eastAsia="zh-CN" w:bidi="ar-SA"/>
              </w:rPr>
              <w:t>及</w:t>
            </w:r>
            <w:r>
              <w:rPr>
                <w:rFonts w:hint="eastAsia"/>
                <w:color w:val="auto"/>
                <w:highlight w:val="none"/>
                <w:lang w:val="en-US" w:eastAsia="zh-CN"/>
              </w:rPr>
              <w:t>黑龙江饶河东北黑蜂国家级自然保护区实验区，影响范围内自然景观较为常见，此区域长期处于城镇居民活动影响范围，项目施工扬尘会对此区域蜜源植物及东北黑蜂活动造成有限影响，项目施工结束进入运营期，扬尘排放随即结束，对区域内蜜源植物及东北黑蜂活动影响也逐渐消失，恢复至初始状态。</w:t>
            </w:r>
          </w:p>
          <w:p w14:paraId="4195546A">
            <w:pPr>
              <w:pStyle w:val="56"/>
              <w:ind w:firstLine="420"/>
              <w:rPr>
                <w:color w:val="auto"/>
                <w:highlight w:val="none"/>
              </w:rPr>
            </w:pPr>
            <w:r>
              <w:rPr>
                <w:rFonts w:hint="eastAsia"/>
                <w:color w:val="auto"/>
                <w:highlight w:val="none"/>
              </w:rPr>
              <w:t>3、</w:t>
            </w:r>
            <w:r>
              <w:rPr>
                <w:color w:val="auto"/>
                <w:highlight w:val="none"/>
              </w:rPr>
              <w:t>施工期噪声环境影响分析</w:t>
            </w:r>
          </w:p>
          <w:p w14:paraId="18D431E3">
            <w:pPr>
              <w:pStyle w:val="56"/>
              <w:ind w:firstLine="420"/>
              <w:rPr>
                <w:color w:val="auto"/>
                <w:highlight w:val="none"/>
              </w:rPr>
            </w:pPr>
            <w:r>
              <w:rPr>
                <w:rFonts w:hint="eastAsia"/>
                <w:color w:val="auto"/>
                <w:highlight w:val="none"/>
              </w:rPr>
              <w:t>根据建设单位提供资料，本项目用到的施工机械包括如挖掘机、推土机等，其满负荷运行时的噪声级见下表</w:t>
            </w:r>
            <w:r>
              <w:rPr>
                <w:color w:val="auto"/>
                <w:highlight w:val="none"/>
              </w:rPr>
              <w:t>。</w:t>
            </w:r>
          </w:p>
          <w:p w14:paraId="1F8AA0F7">
            <w:pPr>
              <w:pStyle w:val="55"/>
              <w:rPr>
                <w:color w:val="auto"/>
                <w:highlight w:val="none"/>
              </w:rPr>
            </w:pPr>
            <w:r>
              <w:rPr>
                <w:color w:val="auto"/>
                <w:highlight w:val="none"/>
              </w:rPr>
              <w:t>表4-</w:t>
            </w:r>
            <w:r>
              <w:rPr>
                <w:rFonts w:hint="eastAsia"/>
                <w:color w:val="auto"/>
                <w:highlight w:val="none"/>
                <w:lang w:val="en-US" w:eastAsia="zh-CN"/>
              </w:rPr>
              <w:t>4</w:t>
            </w:r>
            <w:r>
              <w:rPr>
                <w:color w:val="auto"/>
                <w:highlight w:val="none"/>
              </w:rPr>
              <w:t>施工机械</w:t>
            </w:r>
            <w:r>
              <w:rPr>
                <w:rFonts w:hint="eastAsia"/>
                <w:color w:val="auto"/>
                <w:highlight w:val="none"/>
              </w:rPr>
              <w:t>主要</w:t>
            </w:r>
            <w:r>
              <w:rPr>
                <w:color w:val="auto"/>
                <w:highlight w:val="none"/>
              </w:rPr>
              <w:t>噪声</w:t>
            </w:r>
            <w:r>
              <w:rPr>
                <w:rFonts w:hint="eastAsia"/>
                <w:color w:val="auto"/>
                <w:highlight w:val="none"/>
              </w:rPr>
              <w:t>源强</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5"/>
              <w:gridCol w:w="1167"/>
              <w:gridCol w:w="1414"/>
              <w:gridCol w:w="1023"/>
              <w:gridCol w:w="1169"/>
              <w:gridCol w:w="808"/>
              <w:gridCol w:w="1347"/>
            </w:tblGrid>
            <w:tr w14:paraId="22D470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244DF2DB">
                  <w:pPr>
                    <w:pStyle w:val="51"/>
                    <w:rPr>
                      <w:color w:val="auto"/>
                      <w:highlight w:val="none"/>
                    </w:rPr>
                  </w:pPr>
                  <w:r>
                    <w:rPr>
                      <w:rFonts w:hint="eastAsia"/>
                      <w:color w:val="auto"/>
                      <w:highlight w:val="none"/>
                    </w:rPr>
                    <w:t>序号</w:t>
                  </w:r>
                </w:p>
              </w:tc>
              <w:tc>
                <w:tcPr>
                  <w:tcW w:w="776" w:type="pct"/>
                  <w:vAlign w:val="center"/>
                </w:tcPr>
                <w:p w14:paraId="5D6A8E34">
                  <w:pPr>
                    <w:pStyle w:val="51"/>
                    <w:rPr>
                      <w:color w:val="auto"/>
                      <w:highlight w:val="none"/>
                    </w:rPr>
                  </w:pPr>
                  <w:r>
                    <w:rPr>
                      <w:rFonts w:hint="eastAsia"/>
                      <w:color w:val="auto"/>
                      <w:highlight w:val="none"/>
                    </w:rPr>
                    <w:t>设备名称</w:t>
                  </w:r>
                </w:p>
              </w:tc>
              <w:tc>
                <w:tcPr>
                  <w:tcW w:w="941" w:type="pct"/>
                  <w:vAlign w:val="center"/>
                </w:tcPr>
                <w:p w14:paraId="5BDE4824">
                  <w:pPr>
                    <w:pStyle w:val="51"/>
                    <w:rPr>
                      <w:color w:val="auto"/>
                      <w:highlight w:val="none"/>
                    </w:rPr>
                  </w:pPr>
                  <w:r>
                    <w:rPr>
                      <w:rFonts w:hint="eastAsia"/>
                      <w:color w:val="auto"/>
                      <w:highlight w:val="none"/>
                    </w:rPr>
                    <w:t>测点距施工机械距离（m）</w:t>
                  </w:r>
                </w:p>
              </w:tc>
              <w:tc>
                <w:tcPr>
                  <w:tcW w:w="680" w:type="pct"/>
                  <w:vAlign w:val="center"/>
                </w:tcPr>
                <w:p w14:paraId="79827274">
                  <w:pPr>
                    <w:pStyle w:val="51"/>
                    <w:rPr>
                      <w:color w:val="auto"/>
                      <w:highlight w:val="none"/>
                    </w:rPr>
                  </w:pPr>
                  <w:r>
                    <w:rPr>
                      <w:rFonts w:hint="eastAsia"/>
                      <w:color w:val="auto"/>
                      <w:highlight w:val="none"/>
                    </w:rPr>
                    <w:t>声级</w:t>
                  </w:r>
                  <w:r>
                    <w:rPr>
                      <w:color w:val="auto"/>
                      <w:highlight w:val="none"/>
                    </w:rPr>
                    <w:t>（dB）A</w:t>
                  </w:r>
                </w:p>
              </w:tc>
              <w:tc>
                <w:tcPr>
                  <w:tcW w:w="777" w:type="pct"/>
                  <w:vAlign w:val="center"/>
                </w:tcPr>
                <w:p w14:paraId="1C6DC321">
                  <w:pPr>
                    <w:pStyle w:val="51"/>
                    <w:rPr>
                      <w:color w:val="auto"/>
                      <w:highlight w:val="none"/>
                    </w:rPr>
                  </w:pPr>
                  <w:r>
                    <w:rPr>
                      <w:rFonts w:hint="eastAsia"/>
                      <w:color w:val="auto"/>
                      <w:highlight w:val="none"/>
                    </w:rPr>
                    <w:t>频谱特征</w:t>
                  </w:r>
                </w:p>
              </w:tc>
              <w:tc>
                <w:tcPr>
                  <w:tcW w:w="537" w:type="pct"/>
                  <w:vAlign w:val="center"/>
                </w:tcPr>
                <w:p w14:paraId="39E38D8C">
                  <w:pPr>
                    <w:pStyle w:val="51"/>
                    <w:rPr>
                      <w:color w:val="auto"/>
                      <w:highlight w:val="none"/>
                    </w:rPr>
                  </w:pPr>
                  <w:r>
                    <w:rPr>
                      <w:rFonts w:hint="eastAsia"/>
                      <w:color w:val="auto"/>
                      <w:highlight w:val="none"/>
                    </w:rPr>
                    <w:t>声学特征</w:t>
                  </w:r>
                </w:p>
              </w:tc>
              <w:tc>
                <w:tcPr>
                  <w:tcW w:w="896" w:type="pct"/>
                  <w:vAlign w:val="center"/>
                </w:tcPr>
                <w:p w14:paraId="69BA156A">
                  <w:pPr>
                    <w:pStyle w:val="51"/>
                    <w:rPr>
                      <w:color w:val="auto"/>
                      <w:highlight w:val="none"/>
                    </w:rPr>
                  </w:pPr>
                  <w:r>
                    <w:rPr>
                      <w:rFonts w:hint="eastAsia"/>
                      <w:color w:val="auto"/>
                      <w:highlight w:val="none"/>
                    </w:rPr>
                    <w:t>噪声源位置</w:t>
                  </w:r>
                </w:p>
              </w:tc>
            </w:tr>
            <w:tr w14:paraId="6B7C71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4AE81028">
                  <w:pPr>
                    <w:pStyle w:val="51"/>
                    <w:rPr>
                      <w:color w:val="auto"/>
                      <w:highlight w:val="none"/>
                    </w:rPr>
                  </w:pPr>
                  <w:r>
                    <w:rPr>
                      <w:rFonts w:hint="eastAsia"/>
                      <w:color w:val="auto"/>
                      <w:highlight w:val="none"/>
                    </w:rPr>
                    <w:t>1</w:t>
                  </w:r>
                </w:p>
              </w:tc>
              <w:tc>
                <w:tcPr>
                  <w:tcW w:w="776" w:type="pct"/>
                  <w:vAlign w:val="center"/>
                </w:tcPr>
                <w:p w14:paraId="43C09CFB">
                  <w:pPr>
                    <w:pStyle w:val="51"/>
                    <w:rPr>
                      <w:color w:val="auto"/>
                      <w:highlight w:val="none"/>
                    </w:rPr>
                  </w:pPr>
                  <w:r>
                    <w:rPr>
                      <w:color w:val="auto"/>
                      <w:highlight w:val="none"/>
                    </w:rPr>
                    <w:t>挖掘机</w:t>
                  </w:r>
                </w:p>
              </w:tc>
              <w:tc>
                <w:tcPr>
                  <w:tcW w:w="941" w:type="pct"/>
                  <w:vAlign w:val="center"/>
                </w:tcPr>
                <w:p w14:paraId="4F5329D7">
                  <w:pPr>
                    <w:pStyle w:val="51"/>
                    <w:rPr>
                      <w:color w:val="auto"/>
                      <w:highlight w:val="none"/>
                    </w:rPr>
                  </w:pPr>
                  <w:r>
                    <w:rPr>
                      <w:rFonts w:hint="eastAsia"/>
                      <w:color w:val="auto"/>
                      <w:highlight w:val="none"/>
                    </w:rPr>
                    <w:t>5</w:t>
                  </w:r>
                </w:p>
              </w:tc>
              <w:tc>
                <w:tcPr>
                  <w:tcW w:w="680" w:type="pct"/>
                  <w:vAlign w:val="center"/>
                </w:tcPr>
                <w:p w14:paraId="44790315">
                  <w:pPr>
                    <w:pStyle w:val="51"/>
                    <w:rPr>
                      <w:color w:val="auto"/>
                      <w:highlight w:val="none"/>
                    </w:rPr>
                  </w:pPr>
                  <w:r>
                    <w:rPr>
                      <w:rFonts w:hint="eastAsia"/>
                      <w:color w:val="auto"/>
                      <w:highlight w:val="none"/>
                    </w:rPr>
                    <w:t>8</w:t>
                  </w:r>
                  <w:r>
                    <w:rPr>
                      <w:color w:val="auto"/>
                      <w:highlight w:val="none"/>
                    </w:rPr>
                    <w:t>5</w:t>
                  </w:r>
                </w:p>
              </w:tc>
              <w:tc>
                <w:tcPr>
                  <w:tcW w:w="777" w:type="pct"/>
                  <w:vAlign w:val="center"/>
                </w:tcPr>
                <w:p w14:paraId="71781EA2">
                  <w:pPr>
                    <w:pStyle w:val="51"/>
                    <w:rPr>
                      <w:color w:val="auto"/>
                      <w:highlight w:val="none"/>
                    </w:rPr>
                  </w:pPr>
                  <w:r>
                    <w:rPr>
                      <w:rFonts w:hint="eastAsia"/>
                      <w:color w:val="auto"/>
                      <w:highlight w:val="none"/>
                    </w:rPr>
                    <w:t>中、低频</w:t>
                  </w:r>
                </w:p>
              </w:tc>
              <w:tc>
                <w:tcPr>
                  <w:tcW w:w="537" w:type="pct"/>
                  <w:vAlign w:val="center"/>
                </w:tcPr>
                <w:p w14:paraId="283C1D2C">
                  <w:pPr>
                    <w:pStyle w:val="51"/>
                    <w:rPr>
                      <w:color w:val="auto"/>
                      <w:highlight w:val="none"/>
                    </w:rPr>
                  </w:pPr>
                  <w:r>
                    <w:rPr>
                      <w:rFonts w:hint="eastAsia"/>
                      <w:color w:val="auto"/>
                      <w:highlight w:val="none"/>
                    </w:rPr>
                    <w:t>间断</w:t>
                  </w:r>
                </w:p>
              </w:tc>
              <w:tc>
                <w:tcPr>
                  <w:tcW w:w="896" w:type="pct"/>
                  <w:vMerge w:val="restart"/>
                  <w:vAlign w:val="center"/>
                </w:tcPr>
                <w:p w14:paraId="2537DF40">
                  <w:pPr>
                    <w:pStyle w:val="51"/>
                    <w:rPr>
                      <w:color w:val="auto"/>
                      <w:highlight w:val="none"/>
                    </w:rPr>
                  </w:pPr>
                  <w:r>
                    <w:rPr>
                      <w:rFonts w:hint="eastAsia"/>
                      <w:color w:val="auto"/>
                      <w:highlight w:val="none"/>
                    </w:rPr>
                    <w:t>土方开挖、填土等施工点位</w:t>
                  </w:r>
                </w:p>
              </w:tc>
            </w:tr>
            <w:tr w14:paraId="66D0E6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202B0BC8">
                  <w:pPr>
                    <w:pStyle w:val="51"/>
                    <w:rPr>
                      <w:color w:val="auto"/>
                      <w:highlight w:val="none"/>
                    </w:rPr>
                  </w:pPr>
                  <w:r>
                    <w:rPr>
                      <w:rFonts w:hint="eastAsia"/>
                      <w:color w:val="auto"/>
                      <w:highlight w:val="none"/>
                    </w:rPr>
                    <w:t>2</w:t>
                  </w:r>
                </w:p>
              </w:tc>
              <w:tc>
                <w:tcPr>
                  <w:tcW w:w="776" w:type="pct"/>
                  <w:vAlign w:val="center"/>
                </w:tcPr>
                <w:p w14:paraId="2E6FAF2E">
                  <w:pPr>
                    <w:pStyle w:val="51"/>
                    <w:rPr>
                      <w:color w:val="auto"/>
                      <w:highlight w:val="none"/>
                    </w:rPr>
                  </w:pPr>
                  <w:r>
                    <w:rPr>
                      <w:color w:val="auto"/>
                      <w:highlight w:val="none"/>
                    </w:rPr>
                    <w:t>装载机</w:t>
                  </w:r>
                </w:p>
              </w:tc>
              <w:tc>
                <w:tcPr>
                  <w:tcW w:w="941" w:type="pct"/>
                  <w:vAlign w:val="center"/>
                </w:tcPr>
                <w:p w14:paraId="0DA0420B">
                  <w:pPr>
                    <w:pStyle w:val="51"/>
                    <w:rPr>
                      <w:color w:val="auto"/>
                      <w:highlight w:val="none"/>
                    </w:rPr>
                  </w:pPr>
                  <w:r>
                    <w:rPr>
                      <w:rFonts w:hint="eastAsia"/>
                      <w:color w:val="auto"/>
                      <w:highlight w:val="none"/>
                    </w:rPr>
                    <w:t>5</w:t>
                  </w:r>
                </w:p>
              </w:tc>
              <w:tc>
                <w:tcPr>
                  <w:tcW w:w="680" w:type="pct"/>
                  <w:vAlign w:val="center"/>
                </w:tcPr>
                <w:p w14:paraId="58125AAA">
                  <w:pPr>
                    <w:pStyle w:val="51"/>
                    <w:rPr>
                      <w:color w:val="auto"/>
                      <w:highlight w:val="none"/>
                    </w:rPr>
                  </w:pPr>
                  <w:r>
                    <w:rPr>
                      <w:rFonts w:hint="eastAsia"/>
                      <w:color w:val="auto"/>
                      <w:highlight w:val="none"/>
                    </w:rPr>
                    <w:t>9</w:t>
                  </w:r>
                  <w:r>
                    <w:rPr>
                      <w:color w:val="auto"/>
                      <w:highlight w:val="none"/>
                    </w:rPr>
                    <w:t>0</w:t>
                  </w:r>
                </w:p>
              </w:tc>
              <w:tc>
                <w:tcPr>
                  <w:tcW w:w="777" w:type="pct"/>
                  <w:vAlign w:val="center"/>
                </w:tcPr>
                <w:p w14:paraId="532D0E36">
                  <w:pPr>
                    <w:pStyle w:val="51"/>
                    <w:rPr>
                      <w:color w:val="auto"/>
                      <w:highlight w:val="none"/>
                    </w:rPr>
                  </w:pPr>
                  <w:r>
                    <w:rPr>
                      <w:rFonts w:hint="eastAsia"/>
                      <w:color w:val="auto"/>
                      <w:highlight w:val="none"/>
                    </w:rPr>
                    <w:t>中、低频</w:t>
                  </w:r>
                </w:p>
              </w:tc>
              <w:tc>
                <w:tcPr>
                  <w:tcW w:w="537" w:type="pct"/>
                  <w:vAlign w:val="center"/>
                </w:tcPr>
                <w:p w14:paraId="02872163">
                  <w:pPr>
                    <w:pStyle w:val="51"/>
                    <w:rPr>
                      <w:color w:val="auto"/>
                      <w:highlight w:val="none"/>
                    </w:rPr>
                  </w:pPr>
                  <w:r>
                    <w:rPr>
                      <w:rFonts w:hint="eastAsia"/>
                      <w:color w:val="auto"/>
                      <w:highlight w:val="none"/>
                    </w:rPr>
                    <w:t>间断</w:t>
                  </w:r>
                </w:p>
              </w:tc>
              <w:tc>
                <w:tcPr>
                  <w:tcW w:w="896" w:type="pct"/>
                  <w:vMerge w:val="continue"/>
                  <w:vAlign w:val="center"/>
                </w:tcPr>
                <w:p w14:paraId="1518786F">
                  <w:pPr>
                    <w:pStyle w:val="51"/>
                    <w:rPr>
                      <w:color w:val="auto"/>
                      <w:highlight w:val="none"/>
                    </w:rPr>
                  </w:pPr>
                </w:p>
              </w:tc>
            </w:tr>
            <w:tr w14:paraId="21C414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7737460B">
                  <w:pPr>
                    <w:pStyle w:val="51"/>
                    <w:rPr>
                      <w:color w:val="auto"/>
                      <w:highlight w:val="none"/>
                    </w:rPr>
                  </w:pPr>
                  <w:r>
                    <w:rPr>
                      <w:rFonts w:hint="eastAsia"/>
                      <w:color w:val="auto"/>
                      <w:highlight w:val="none"/>
                    </w:rPr>
                    <w:t>3</w:t>
                  </w:r>
                </w:p>
              </w:tc>
              <w:tc>
                <w:tcPr>
                  <w:tcW w:w="776" w:type="pct"/>
                  <w:vAlign w:val="center"/>
                </w:tcPr>
                <w:p w14:paraId="1E870630">
                  <w:pPr>
                    <w:pStyle w:val="51"/>
                    <w:rPr>
                      <w:color w:val="auto"/>
                      <w:highlight w:val="none"/>
                    </w:rPr>
                  </w:pPr>
                  <w:r>
                    <w:rPr>
                      <w:rFonts w:hint="eastAsia"/>
                      <w:color w:val="auto"/>
                      <w:highlight w:val="none"/>
                    </w:rPr>
                    <w:t>推土机</w:t>
                  </w:r>
                </w:p>
              </w:tc>
              <w:tc>
                <w:tcPr>
                  <w:tcW w:w="941" w:type="pct"/>
                  <w:vAlign w:val="center"/>
                </w:tcPr>
                <w:p w14:paraId="3D053262">
                  <w:pPr>
                    <w:pStyle w:val="51"/>
                    <w:rPr>
                      <w:color w:val="auto"/>
                      <w:highlight w:val="none"/>
                    </w:rPr>
                  </w:pPr>
                  <w:r>
                    <w:rPr>
                      <w:rFonts w:hint="eastAsia"/>
                      <w:color w:val="auto"/>
                      <w:highlight w:val="none"/>
                    </w:rPr>
                    <w:t>5</w:t>
                  </w:r>
                </w:p>
              </w:tc>
              <w:tc>
                <w:tcPr>
                  <w:tcW w:w="680" w:type="pct"/>
                  <w:vAlign w:val="center"/>
                </w:tcPr>
                <w:p w14:paraId="0B6AB65E">
                  <w:pPr>
                    <w:pStyle w:val="51"/>
                    <w:rPr>
                      <w:color w:val="auto"/>
                      <w:highlight w:val="none"/>
                    </w:rPr>
                  </w:pPr>
                  <w:r>
                    <w:rPr>
                      <w:rFonts w:hint="eastAsia"/>
                      <w:color w:val="auto"/>
                      <w:highlight w:val="none"/>
                    </w:rPr>
                    <w:t>8</w:t>
                  </w:r>
                  <w:r>
                    <w:rPr>
                      <w:color w:val="auto"/>
                      <w:highlight w:val="none"/>
                    </w:rPr>
                    <w:t>3</w:t>
                  </w:r>
                </w:p>
              </w:tc>
              <w:tc>
                <w:tcPr>
                  <w:tcW w:w="777" w:type="pct"/>
                  <w:vAlign w:val="center"/>
                </w:tcPr>
                <w:p w14:paraId="17E2E2AF">
                  <w:pPr>
                    <w:pStyle w:val="51"/>
                    <w:rPr>
                      <w:color w:val="auto"/>
                      <w:highlight w:val="none"/>
                    </w:rPr>
                  </w:pPr>
                  <w:r>
                    <w:rPr>
                      <w:rFonts w:hint="eastAsia"/>
                      <w:color w:val="auto"/>
                      <w:highlight w:val="none"/>
                    </w:rPr>
                    <w:t>中、低频</w:t>
                  </w:r>
                </w:p>
              </w:tc>
              <w:tc>
                <w:tcPr>
                  <w:tcW w:w="537" w:type="pct"/>
                  <w:vAlign w:val="center"/>
                </w:tcPr>
                <w:p w14:paraId="761EFF54">
                  <w:pPr>
                    <w:pStyle w:val="51"/>
                    <w:rPr>
                      <w:color w:val="auto"/>
                      <w:highlight w:val="none"/>
                    </w:rPr>
                  </w:pPr>
                  <w:r>
                    <w:rPr>
                      <w:rFonts w:hint="eastAsia"/>
                      <w:color w:val="auto"/>
                      <w:highlight w:val="none"/>
                    </w:rPr>
                    <w:t>间断</w:t>
                  </w:r>
                </w:p>
              </w:tc>
              <w:tc>
                <w:tcPr>
                  <w:tcW w:w="896" w:type="pct"/>
                  <w:vMerge w:val="continue"/>
                  <w:vAlign w:val="center"/>
                </w:tcPr>
                <w:p w14:paraId="1E363CB8">
                  <w:pPr>
                    <w:pStyle w:val="51"/>
                    <w:rPr>
                      <w:color w:val="auto"/>
                      <w:highlight w:val="none"/>
                    </w:rPr>
                  </w:pPr>
                </w:p>
              </w:tc>
            </w:tr>
            <w:tr w14:paraId="511470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7A5021D6">
                  <w:pPr>
                    <w:pStyle w:val="51"/>
                    <w:rPr>
                      <w:color w:val="auto"/>
                      <w:highlight w:val="none"/>
                    </w:rPr>
                  </w:pPr>
                  <w:r>
                    <w:rPr>
                      <w:rFonts w:hint="eastAsia"/>
                      <w:color w:val="auto"/>
                      <w:highlight w:val="none"/>
                    </w:rPr>
                    <w:t>4</w:t>
                  </w:r>
                </w:p>
              </w:tc>
              <w:tc>
                <w:tcPr>
                  <w:tcW w:w="776" w:type="pct"/>
                  <w:vAlign w:val="center"/>
                </w:tcPr>
                <w:p w14:paraId="6F2F0E31">
                  <w:pPr>
                    <w:pStyle w:val="51"/>
                    <w:rPr>
                      <w:color w:val="auto"/>
                      <w:highlight w:val="none"/>
                    </w:rPr>
                  </w:pPr>
                  <w:r>
                    <w:rPr>
                      <w:rFonts w:hint="eastAsia"/>
                      <w:color w:val="auto"/>
                      <w:highlight w:val="none"/>
                    </w:rPr>
                    <w:t>自卸汽车</w:t>
                  </w:r>
                </w:p>
              </w:tc>
              <w:tc>
                <w:tcPr>
                  <w:tcW w:w="941" w:type="pct"/>
                  <w:vAlign w:val="center"/>
                </w:tcPr>
                <w:p w14:paraId="7B406CF3">
                  <w:pPr>
                    <w:pStyle w:val="51"/>
                    <w:rPr>
                      <w:color w:val="auto"/>
                      <w:highlight w:val="none"/>
                    </w:rPr>
                  </w:pPr>
                  <w:r>
                    <w:rPr>
                      <w:rFonts w:hint="eastAsia"/>
                      <w:color w:val="auto"/>
                      <w:highlight w:val="none"/>
                    </w:rPr>
                    <w:t>5</w:t>
                  </w:r>
                </w:p>
              </w:tc>
              <w:tc>
                <w:tcPr>
                  <w:tcW w:w="680" w:type="pct"/>
                  <w:vAlign w:val="center"/>
                </w:tcPr>
                <w:p w14:paraId="71A0AFEB">
                  <w:pPr>
                    <w:pStyle w:val="51"/>
                    <w:rPr>
                      <w:color w:val="auto"/>
                      <w:highlight w:val="none"/>
                    </w:rPr>
                  </w:pPr>
                  <w:r>
                    <w:rPr>
                      <w:rFonts w:hint="eastAsia"/>
                      <w:color w:val="auto"/>
                      <w:highlight w:val="none"/>
                    </w:rPr>
                    <w:t>8</w:t>
                  </w:r>
                  <w:r>
                    <w:rPr>
                      <w:color w:val="auto"/>
                      <w:highlight w:val="none"/>
                    </w:rPr>
                    <w:t>2</w:t>
                  </w:r>
                </w:p>
              </w:tc>
              <w:tc>
                <w:tcPr>
                  <w:tcW w:w="777" w:type="pct"/>
                  <w:vAlign w:val="center"/>
                </w:tcPr>
                <w:p w14:paraId="3C89BE23">
                  <w:pPr>
                    <w:pStyle w:val="51"/>
                    <w:rPr>
                      <w:color w:val="auto"/>
                      <w:highlight w:val="none"/>
                    </w:rPr>
                  </w:pPr>
                  <w:r>
                    <w:rPr>
                      <w:rFonts w:hint="eastAsia"/>
                      <w:color w:val="auto"/>
                      <w:highlight w:val="none"/>
                    </w:rPr>
                    <w:t>中、低频</w:t>
                  </w:r>
                </w:p>
              </w:tc>
              <w:tc>
                <w:tcPr>
                  <w:tcW w:w="537" w:type="pct"/>
                  <w:vAlign w:val="center"/>
                </w:tcPr>
                <w:p w14:paraId="0B50109F">
                  <w:pPr>
                    <w:pStyle w:val="51"/>
                    <w:rPr>
                      <w:color w:val="auto"/>
                      <w:highlight w:val="none"/>
                    </w:rPr>
                  </w:pPr>
                  <w:r>
                    <w:rPr>
                      <w:rFonts w:hint="eastAsia"/>
                      <w:color w:val="auto"/>
                      <w:highlight w:val="none"/>
                    </w:rPr>
                    <w:t>间断</w:t>
                  </w:r>
                </w:p>
              </w:tc>
              <w:tc>
                <w:tcPr>
                  <w:tcW w:w="896" w:type="pct"/>
                  <w:vAlign w:val="center"/>
                </w:tcPr>
                <w:p w14:paraId="199A5751">
                  <w:pPr>
                    <w:pStyle w:val="51"/>
                    <w:rPr>
                      <w:color w:val="auto"/>
                      <w:highlight w:val="none"/>
                    </w:rPr>
                  </w:pPr>
                  <w:r>
                    <w:rPr>
                      <w:rFonts w:hint="eastAsia"/>
                      <w:color w:val="auto"/>
                      <w:highlight w:val="none"/>
                    </w:rPr>
                    <w:t>施工场地及运输路线沿线</w:t>
                  </w:r>
                </w:p>
              </w:tc>
            </w:tr>
          </w:tbl>
          <w:p w14:paraId="33FEEEEA">
            <w:pPr>
              <w:pStyle w:val="55"/>
              <w:rPr>
                <w:color w:val="auto"/>
                <w:highlight w:val="none"/>
              </w:rPr>
            </w:pPr>
            <w:r>
              <w:rPr>
                <w:color w:val="auto"/>
                <w:highlight w:val="none"/>
              </w:rPr>
              <w:t>表4-</w:t>
            </w:r>
            <w:r>
              <w:rPr>
                <w:rFonts w:hint="eastAsia"/>
                <w:color w:val="auto"/>
                <w:highlight w:val="none"/>
                <w:lang w:val="en-US" w:eastAsia="zh-CN"/>
              </w:rPr>
              <w:t>5</w:t>
            </w:r>
            <w:r>
              <w:rPr>
                <w:color w:val="auto"/>
                <w:highlight w:val="none"/>
              </w:rPr>
              <w:t>施工</w:t>
            </w:r>
            <w:r>
              <w:rPr>
                <w:rFonts w:hint="eastAsia"/>
                <w:color w:val="auto"/>
                <w:highlight w:val="none"/>
              </w:rPr>
              <w:t>期</w:t>
            </w:r>
            <w:r>
              <w:rPr>
                <w:color w:val="auto"/>
                <w:highlight w:val="none"/>
              </w:rPr>
              <w:t>噪声</w:t>
            </w:r>
            <w:r>
              <w:rPr>
                <w:rFonts w:hint="eastAsia"/>
                <w:color w:val="auto"/>
                <w:highlight w:val="none"/>
              </w:rPr>
              <w:t>预测结果</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14"/>
              <w:gridCol w:w="882"/>
              <w:gridCol w:w="669"/>
              <w:gridCol w:w="1053"/>
              <w:gridCol w:w="730"/>
              <w:gridCol w:w="730"/>
              <w:gridCol w:w="732"/>
              <w:gridCol w:w="732"/>
              <w:gridCol w:w="730"/>
              <w:gridCol w:w="843"/>
            </w:tblGrid>
            <w:tr w14:paraId="4ABF52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 w:hRule="atLeast"/>
                <w:jc w:val="center"/>
              </w:trPr>
              <w:tc>
                <w:tcPr>
                  <w:tcW w:w="275" w:type="pct"/>
                  <w:vMerge w:val="restart"/>
                  <w:vAlign w:val="center"/>
                </w:tcPr>
                <w:p w14:paraId="5620456C">
                  <w:pPr>
                    <w:pStyle w:val="51"/>
                    <w:rPr>
                      <w:color w:val="auto"/>
                      <w:highlight w:val="none"/>
                    </w:rPr>
                  </w:pPr>
                  <w:r>
                    <w:rPr>
                      <w:rFonts w:hint="eastAsia"/>
                      <w:color w:val="auto"/>
                      <w:highlight w:val="none"/>
                    </w:rPr>
                    <w:t>序号</w:t>
                  </w:r>
                </w:p>
              </w:tc>
              <w:tc>
                <w:tcPr>
                  <w:tcW w:w="586" w:type="pct"/>
                  <w:vMerge w:val="restart"/>
                  <w:vAlign w:val="center"/>
                </w:tcPr>
                <w:p w14:paraId="2F1425D7">
                  <w:pPr>
                    <w:pStyle w:val="51"/>
                    <w:rPr>
                      <w:color w:val="auto"/>
                      <w:highlight w:val="none"/>
                    </w:rPr>
                  </w:pPr>
                  <w:r>
                    <w:rPr>
                      <w:color w:val="auto"/>
                      <w:highlight w:val="none"/>
                    </w:rPr>
                    <w:t>施工机具名称</w:t>
                  </w:r>
                </w:p>
              </w:tc>
              <w:tc>
                <w:tcPr>
                  <w:tcW w:w="444" w:type="pct"/>
                  <w:vMerge w:val="restart"/>
                  <w:vAlign w:val="center"/>
                </w:tcPr>
                <w:p w14:paraId="32FC6845">
                  <w:pPr>
                    <w:pStyle w:val="51"/>
                    <w:rPr>
                      <w:color w:val="auto"/>
                      <w:highlight w:val="none"/>
                    </w:rPr>
                  </w:pPr>
                  <w:r>
                    <w:rPr>
                      <w:rFonts w:hint="eastAsia"/>
                      <w:color w:val="auto"/>
                      <w:highlight w:val="none"/>
                    </w:rPr>
                    <w:t>测定距离</w:t>
                  </w:r>
                </w:p>
              </w:tc>
              <w:tc>
                <w:tcPr>
                  <w:tcW w:w="701" w:type="pct"/>
                  <w:vMerge w:val="restart"/>
                  <w:vAlign w:val="center"/>
                </w:tcPr>
                <w:p w14:paraId="1838FDA1">
                  <w:pPr>
                    <w:pStyle w:val="51"/>
                    <w:rPr>
                      <w:color w:val="auto"/>
                      <w:highlight w:val="none"/>
                    </w:rPr>
                  </w:pPr>
                  <w:r>
                    <w:rPr>
                      <w:rFonts w:hint="eastAsia"/>
                      <w:color w:val="auto"/>
                      <w:highlight w:val="none"/>
                    </w:rPr>
                    <w:t>源强</w:t>
                  </w:r>
                </w:p>
              </w:tc>
              <w:tc>
                <w:tcPr>
                  <w:tcW w:w="2993" w:type="pct"/>
                  <w:gridSpan w:val="6"/>
                  <w:vAlign w:val="center"/>
                </w:tcPr>
                <w:p w14:paraId="5D66C5CE">
                  <w:pPr>
                    <w:pStyle w:val="51"/>
                    <w:rPr>
                      <w:color w:val="auto"/>
                      <w:highlight w:val="none"/>
                    </w:rPr>
                  </w:pPr>
                  <w:r>
                    <w:rPr>
                      <w:rFonts w:hint="eastAsia"/>
                      <w:color w:val="auto"/>
                      <w:highlight w:val="none"/>
                    </w:rPr>
                    <w:t>预测噪声级</w:t>
                  </w:r>
                  <w:r>
                    <w:rPr>
                      <w:color w:val="auto"/>
                      <w:highlight w:val="none"/>
                    </w:rPr>
                    <w:t>（dB）A</w:t>
                  </w:r>
                </w:p>
              </w:tc>
            </w:tr>
            <w:tr w14:paraId="2A50CC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Merge w:val="continue"/>
                  <w:vAlign w:val="center"/>
                </w:tcPr>
                <w:p w14:paraId="28BF14E8">
                  <w:pPr>
                    <w:pStyle w:val="51"/>
                    <w:rPr>
                      <w:color w:val="auto"/>
                      <w:highlight w:val="none"/>
                    </w:rPr>
                  </w:pPr>
                </w:p>
              </w:tc>
              <w:tc>
                <w:tcPr>
                  <w:tcW w:w="586" w:type="pct"/>
                  <w:vMerge w:val="continue"/>
                  <w:vAlign w:val="center"/>
                </w:tcPr>
                <w:p w14:paraId="4591DC5A">
                  <w:pPr>
                    <w:pStyle w:val="51"/>
                    <w:rPr>
                      <w:color w:val="auto"/>
                      <w:highlight w:val="none"/>
                    </w:rPr>
                  </w:pPr>
                </w:p>
              </w:tc>
              <w:tc>
                <w:tcPr>
                  <w:tcW w:w="444" w:type="pct"/>
                  <w:vMerge w:val="continue"/>
                  <w:vAlign w:val="center"/>
                </w:tcPr>
                <w:p w14:paraId="07BF3AE5">
                  <w:pPr>
                    <w:pStyle w:val="51"/>
                    <w:rPr>
                      <w:color w:val="auto"/>
                      <w:highlight w:val="none"/>
                    </w:rPr>
                  </w:pPr>
                </w:p>
              </w:tc>
              <w:tc>
                <w:tcPr>
                  <w:tcW w:w="701" w:type="pct"/>
                  <w:vMerge w:val="continue"/>
                  <w:vAlign w:val="center"/>
                </w:tcPr>
                <w:p w14:paraId="4E4320A2">
                  <w:pPr>
                    <w:pStyle w:val="51"/>
                    <w:rPr>
                      <w:color w:val="auto"/>
                      <w:highlight w:val="none"/>
                    </w:rPr>
                  </w:pPr>
                </w:p>
              </w:tc>
              <w:tc>
                <w:tcPr>
                  <w:tcW w:w="486" w:type="pct"/>
                  <w:vAlign w:val="center"/>
                </w:tcPr>
                <w:p w14:paraId="0047BE99">
                  <w:pPr>
                    <w:pStyle w:val="51"/>
                    <w:rPr>
                      <w:color w:val="auto"/>
                      <w:highlight w:val="none"/>
                    </w:rPr>
                  </w:pPr>
                  <w:r>
                    <w:rPr>
                      <w:rFonts w:hint="eastAsia"/>
                      <w:color w:val="auto"/>
                      <w:highlight w:val="none"/>
                    </w:rPr>
                    <w:t>1</w:t>
                  </w:r>
                  <w:r>
                    <w:rPr>
                      <w:color w:val="auto"/>
                      <w:highlight w:val="none"/>
                    </w:rPr>
                    <w:t>0</w:t>
                  </w:r>
                  <w:r>
                    <w:rPr>
                      <w:rFonts w:hint="eastAsia"/>
                      <w:color w:val="auto"/>
                      <w:highlight w:val="none"/>
                    </w:rPr>
                    <w:t>m</w:t>
                  </w:r>
                </w:p>
              </w:tc>
              <w:tc>
                <w:tcPr>
                  <w:tcW w:w="486" w:type="pct"/>
                  <w:vAlign w:val="center"/>
                </w:tcPr>
                <w:p w14:paraId="5B679B98">
                  <w:pPr>
                    <w:pStyle w:val="51"/>
                    <w:rPr>
                      <w:color w:val="auto"/>
                      <w:highlight w:val="none"/>
                    </w:rPr>
                  </w:pPr>
                  <w:r>
                    <w:rPr>
                      <w:rFonts w:hint="eastAsia"/>
                      <w:color w:val="auto"/>
                      <w:highlight w:val="none"/>
                    </w:rPr>
                    <w:t>2</w:t>
                  </w:r>
                  <w:r>
                    <w:rPr>
                      <w:color w:val="auto"/>
                      <w:highlight w:val="none"/>
                    </w:rPr>
                    <w:t>0</w:t>
                  </w:r>
                  <w:r>
                    <w:rPr>
                      <w:rFonts w:hint="eastAsia"/>
                      <w:color w:val="auto"/>
                      <w:highlight w:val="none"/>
                    </w:rPr>
                    <w:t>m</w:t>
                  </w:r>
                </w:p>
              </w:tc>
              <w:tc>
                <w:tcPr>
                  <w:tcW w:w="487" w:type="pct"/>
                  <w:vAlign w:val="center"/>
                </w:tcPr>
                <w:p w14:paraId="30C8EFE9">
                  <w:pPr>
                    <w:pStyle w:val="51"/>
                    <w:rPr>
                      <w:color w:val="auto"/>
                      <w:highlight w:val="none"/>
                    </w:rPr>
                  </w:pPr>
                  <w:r>
                    <w:rPr>
                      <w:rFonts w:hint="eastAsia"/>
                      <w:color w:val="auto"/>
                      <w:highlight w:val="none"/>
                    </w:rPr>
                    <w:t>4</w:t>
                  </w:r>
                  <w:r>
                    <w:rPr>
                      <w:color w:val="auto"/>
                      <w:highlight w:val="none"/>
                    </w:rPr>
                    <w:t>0</w:t>
                  </w:r>
                  <w:r>
                    <w:rPr>
                      <w:rFonts w:hint="eastAsia"/>
                      <w:color w:val="auto"/>
                      <w:highlight w:val="none"/>
                    </w:rPr>
                    <w:t>m</w:t>
                  </w:r>
                </w:p>
              </w:tc>
              <w:tc>
                <w:tcPr>
                  <w:tcW w:w="487" w:type="pct"/>
                  <w:vAlign w:val="center"/>
                </w:tcPr>
                <w:p w14:paraId="27A88FC5">
                  <w:pPr>
                    <w:pStyle w:val="51"/>
                    <w:rPr>
                      <w:color w:val="auto"/>
                      <w:highlight w:val="none"/>
                    </w:rPr>
                  </w:pPr>
                  <w:r>
                    <w:rPr>
                      <w:rFonts w:hint="eastAsia"/>
                      <w:color w:val="auto"/>
                      <w:highlight w:val="none"/>
                    </w:rPr>
                    <w:t>6</w:t>
                  </w:r>
                  <w:r>
                    <w:rPr>
                      <w:color w:val="auto"/>
                      <w:highlight w:val="none"/>
                    </w:rPr>
                    <w:t>0</w:t>
                  </w:r>
                  <w:r>
                    <w:rPr>
                      <w:rFonts w:hint="eastAsia"/>
                      <w:color w:val="auto"/>
                      <w:highlight w:val="none"/>
                    </w:rPr>
                    <w:t>m</w:t>
                  </w:r>
                </w:p>
              </w:tc>
              <w:tc>
                <w:tcPr>
                  <w:tcW w:w="486" w:type="pct"/>
                  <w:vAlign w:val="center"/>
                </w:tcPr>
                <w:p w14:paraId="08A02F0B">
                  <w:pPr>
                    <w:pStyle w:val="51"/>
                    <w:rPr>
                      <w:color w:val="auto"/>
                      <w:highlight w:val="none"/>
                    </w:rPr>
                  </w:pPr>
                  <w:r>
                    <w:rPr>
                      <w:rFonts w:hint="eastAsia"/>
                      <w:color w:val="auto"/>
                      <w:highlight w:val="none"/>
                    </w:rPr>
                    <w:t>1</w:t>
                  </w:r>
                  <w:r>
                    <w:rPr>
                      <w:color w:val="auto"/>
                      <w:highlight w:val="none"/>
                    </w:rPr>
                    <w:t>00</w:t>
                  </w:r>
                  <w:r>
                    <w:rPr>
                      <w:rFonts w:hint="eastAsia"/>
                      <w:color w:val="auto"/>
                      <w:highlight w:val="none"/>
                    </w:rPr>
                    <w:t>m</w:t>
                  </w:r>
                </w:p>
              </w:tc>
              <w:tc>
                <w:tcPr>
                  <w:tcW w:w="561" w:type="pct"/>
                  <w:vAlign w:val="center"/>
                </w:tcPr>
                <w:p w14:paraId="04396E80">
                  <w:pPr>
                    <w:pStyle w:val="51"/>
                    <w:rPr>
                      <w:color w:val="auto"/>
                      <w:highlight w:val="none"/>
                    </w:rPr>
                  </w:pPr>
                  <w:r>
                    <w:rPr>
                      <w:rFonts w:hint="eastAsia"/>
                      <w:color w:val="auto"/>
                      <w:highlight w:val="none"/>
                    </w:rPr>
                    <w:t>2</w:t>
                  </w:r>
                  <w:r>
                    <w:rPr>
                      <w:color w:val="auto"/>
                      <w:highlight w:val="none"/>
                    </w:rPr>
                    <w:t>00</w:t>
                  </w:r>
                  <w:r>
                    <w:rPr>
                      <w:rFonts w:hint="eastAsia"/>
                      <w:color w:val="auto"/>
                      <w:highlight w:val="none"/>
                    </w:rPr>
                    <w:t>m</w:t>
                  </w:r>
                </w:p>
              </w:tc>
            </w:tr>
            <w:tr w14:paraId="10B5E8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78B437EC">
                  <w:pPr>
                    <w:pStyle w:val="51"/>
                    <w:rPr>
                      <w:color w:val="auto"/>
                      <w:highlight w:val="none"/>
                    </w:rPr>
                  </w:pPr>
                  <w:r>
                    <w:rPr>
                      <w:rFonts w:hint="eastAsia"/>
                      <w:color w:val="auto"/>
                      <w:highlight w:val="none"/>
                    </w:rPr>
                    <w:t>1</w:t>
                  </w:r>
                </w:p>
              </w:tc>
              <w:tc>
                <w:tcPr>
                  <w:tcW w:w="586" w:type="pct"/>
                  <w:vAlign w:val="center"/>
                </w:tcPr>
                <w:p w14:paraId="34D25770">
                  <w:pPr>
                    <w:pStyle w:val="51"/>
                    <w:rPr>
                      <w:color w:val="auto"/>
                      <w:highlight w:val="none"/>
                    </w:rPr>
                  </w:pPr>
                  <w:r>
                    <w:rPr>
                      <w:color w:val="auto"/>
                      <w:highlight w:val="none"/>
                    </w:rPr>
                    <w:t>挖掘机</w:t>
                  </w:r>
                </w:p>
              </w:tc>
              <w:tc>
                <w:tcPr>
                  <w:tcW w:w="444" w:type="pct"/>
                  <w:vAlign w:val="center"/>
                </w:tcPr>
                <w:p w14:paraId="04714386">
                  <w:pPr>
                    <w:pStyle w:val="51"/>
                    <w:rPr>
                      <w:color w:val="auto"/>
                      <w:highlight w:val="none"/>
                    </w:rPr>
                  </w:pPr>
                  <w:r>
                    <w:rPr>
                      <w:rFonts w:hint="eastAsia"/>
                      <w:color w:val="auto"/>
                      <w:highlight w:val="none"/>
                    </w:rPr>
                    <w:t>5</w:t>
                  </w:r>
                </w:p>
              </w:tc>
              <w:tc>
                <w:tcPr>
                  <w:tcW w:w="701" w:type="pct"/>
                  <w:vAlign w:val="center"/>
                </w:tcPr>
                <w:p w14:paraId="08382B5F">
                  <w:pPr>
                    <w:pStyle w:val="51"/>
                    <w:rPr>
                      <w:color w:val="auto"/>
                      <w:highlight w:val="none"/>
                    </w:rPr>
                  </w:pPr>
                  <w:r>
                    <w:rPr>
                      <w:rFonts w:hint="eastAsia"/>
                      <w:color w:val="auto"/>
                      <w:highlight w:val="none"/>
                    </w:rPr>
                    <w:t>8</w:t>
                  </w:r>
                  <w:r>
                    <w:rPr>
                      <w:color w:val="auto"/>
                      <w:highlight w:val="none"/>
                    </w:rPr>
                    <w:t>5</w:t>
                  </w:r>
                </w:p>
              </w:tc>
              <w:tc>
                <w:tcPr>
                  <w:tcW w:w="486" w:type="pct"/>
                  <w:vAlign w:val="center"/>
                </w:tcPr>
                <w:p w14:paraId="6DE49E1F">
                  <w:pPr>
                    <w:pStyle w:val="51"/>
                    <w:rPr>
                      <w:color w:val="auto"/>
                      <w:highlight w:val="none"/>
                    </w:rPr>
                  </w:pPr>
                  <w:r>
                    <w:rPr>
                      <w:rFonts w:hint="eastAsia"/>
                      <w:color w:val="auto"/>
                      <w:highlight w:val="none"/>
                    </w:rPr>
                    <w:t>7</w:t>
                  </w:r>
                  <w:r>
                    <w:rPr>
                      <w:color w:val="auto"/>
                      <w:highlight w:val="none"/>
                    </w:rPr>
                    <w:t>9</w:t>
                  </w:r>
                </w:p>
              </w:tc>
              <w:tc>
                <w:tcPr>
                  <w:tcW w:w="486" w:type="pct"/>
                  <w:vAlign w:val="center"/>
                </w:tcPr>
                <w:p w14:paraId="7692F775">
                  <w:pPr>
                    <w:pStyle w:val="51"/>
                    <w:rPr>
                      <w:color w:val="auto"/>
                      <w:highlight w:val="none"/>
                    </w:rPr>
                  </w:pPr>
                  <w:r>
                    <w:rPr>
                      <w:rFonts w:hint="eastAsia"/>
                      <w:color w:val="auto"/>
                      <w:highlight w:val="none"/>
                    </w:rPr>
                    <w:t>7</w:t>
                  </w:r>
                  <w:r>
                    <w:rPr>
                      <w:color w:val="auto"/>
                      <w:highlight w:val="none"/>
                    </w:rPr>
                    <w:t>3</w:t>
                  </w:r>
                </w:p>
              </w:tc>
              <w:tc>
                <w:tcPr>
                  <w:tcW w:w="487" w:type="pct"/>
                  <w:vAlign w:val="center"/>
                </w:tcPr>
                <w:p w14:paraId="7F2C286E">
                  <w:pPr>
                    <w:pStyle w:val="51"/>
                    <w:rPr>
                      <w:color w:val="auto"/>
                      <w:highlight w:val="none"/>
                    </w:rPr>
                  </w:pPr>
                  <w:r>
                    <w:rPr>
                      <w:rFonts w:hint="eastAsia"/>
                      <w:color w:val="auto"/>
                      <w:highlight w:val="none"/>
                    </w:rPr>
                    <w:t>6</w:t>
                  </w:r>
                  <w:r>
                    <w:rPr>
                      <w:color w:val="auto"/>
                      <w:highlight w:val="none"/>
                    </w:rPr>
                    <w:t>7</w:t>
                  </w:r>
                </w:p>
              </w:tc>
              <w:tc>
                <w:tcPr>
                  <w:tcW w:w="487" w:type="pct"/>
                  <w:vAlign w:val="center"/>
                </w:tcPr>
                <w:p w14:paraId="5C17F793">
                  <w:pPr>
                    <w:pStyle w:val="51"/>
                    <w:rPr>
                      <w:color w:val="auto"/>
                      <w:highlight w:val="none"/>
                    </w:rPr>
                  </w:pPr>
                  <w:r>
                    <w:rPr>
                      <w:rFonts w:hint="eastAsia"/>
                      <w:color w:val="auto"/>
                      <w:highlight w:val="none"/>
                    </w:rPr>
                    <w:t>6</w:t>
                  </w:r>
                  <w:r>
                    <w:rPr>
                      <w:color w:val="auto"/>
                      <w:highlight w:val="none"/>
                    </w:rPr>
                    <w:t>3</w:t>
                  </w:r>
                </w:p>
              </w:tc>
              <w:tc>
                <w:tcPr>
                  <w:tcW w:w="486" w:type="pct"/>
                  <w:vAlign w:val="center"/>
                </w:tcPr>
                <w:p w14:paraId="1E81A6BC">
                  <w:pPr>
                    <w:pStyle w:val="51"/>
                    <w:rPr>
                      <w:color w:val="auto"/>
                      <w:highlight w:val="none"/>
                    </w:rPr>
                  </w:pPr>
                  <w:r>
                    <w:rPr>
                      <w:rFonts w:hint="eastAsia"/>
                      <w:color w:val="auto"/>
                      <w:highlight w:val="none"/>
                    </w:rPr>
                    <w:t>5</w:t>
                  </w:r>
                  <w:r>
                    <w:rPr>
                      <w:color w:val="auto"/>
                      <w:highlight w:val="none"/>
                    </w:rPr>
                    <w:t>9</w:t>
                  </w:r>
                </w:p>
              </w:tc>
              <w:tc>
                <w:tcPr>
                  <w:tcW w:w="561" w:type="pct"/>
                  <w:vAlign w:val="center"/>
                </w:tcPr>
                <w:p w14:paraId="6EE63616">
                  <w:pPr>
                    <w:pStyle w:val="51"/>
                    <w:rPr>
                      <w:color w:val="auto"/>
                      <w:highlight w:val="none"/>
                    </w:rPr>
                  </w:pPr>
                  <w:r>
                    <w:rPr>
                      <w:rFonts w:hint="eastAsia"/>
                      <w:color w:val="auto"/>
                      <w:highlight w:val="none"/>
                    </w:rPr>
                    <w:t>5</w:t>
                  </w:r>
                  <w:r>
                    <w:rPr>
                      <w:color w:val="auto"/>
                      <w:highlight w:val="none"/>
                    </w:rPr>
                    <w:t>3</w:t>
                  </w:r>
                </w:p>
              </w:tc>
            </w:tr>
            <w:tr w14:paraId="06FAD9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2D9B9546">
                  <w:pPr>
                    <w:pStyle w:val="51"/>
                    <w:rPr>
                      <w:color w:val="auto"/>
                      <w:highlight w:val="none"/>
                    </w:rPr>
                  </w:pPr>
                  <w:r>
                    <w:rPr>
                      <w:rFonts w:hint="eastAsia"/>
                      <w:color w:val="auto"/>
                      <w:highlight w:val="none"/>
                    </w:rPr>
                    <w:t>2</w:t>
                  </w:r>
                </w:p>
              </w:tc>
              <w:tc>
                <w:tcPr>
                  <w:tcW w:w="586" w:type="pct"/>
                  <w:vAlign w:val="center"/>
                </w:tcPr>
                <w:p w14:paraId="44BA76D8">
                  <w:pPr>
                    <w:pStyle w:val="51"/>
                    <w:rPr>
                      <w:color w:val="auto"/>
                      <w:highlight w:val="none"/>
                    </w:rPr>
                  </w:pPr>
                  <w:r>
                    <w:rPr>
                      <w:color w:val="auto"/>
                      <w:highlight w:val="none"/>
                    </w:rPr>
                    <w:t>装载机</w:t>
                  </w:r>
                </w:p>
              </w:tc>
              <w:tc>
                <w:tcPr>
                  <w:tcW w:w="444" w:type="pct"/>
                  <w:vAlign w:val="center"/>
                </w:tcPr>
                <w:p w14:paraId="406E2332">
                  <w:pPr>
                    <w:pStyle w:val="51"/>
                    <w:rPr>
                      <w:color w:val="auto"/>
                      <w:highlight w:val="none"/>
                    </w:rPr>
                  </w:pPr>
                  <w:r>
                    <w:rPr>
                      <w:rFonts w:hint="eastAsia"/>
                      <w:color w:val="auto"/>
                      <w:highlight w:val="none"/>
                    </w:rPr>
                    <w:t>5</w:t>
                  </w:r>
                </w:p>
              </w:tc>
              <w:tc>
                <w:tcPr>
                  <w:tcW w:w="701" w:type="pct"/>
                  <w:vAlign w:val="center"/>
                </w:tcPr>
                <w:p w14:paraId="5C491020">
                  <w:pPr>
                    <w:pStyle w:val="51"/>
                    <w:rPr>
                      <w:color w:val="auto"/>
                      <w:highlight w:val="none"/>
                    </w:rPr>
                  </w:pPr>
                  <w:r>
                    <w:rPr>
                      <w:rFonts w:hint="eastAsia"/>
                      <w:color w:val="auto"/>
                      <w:highlight w:val="none"/>
                    </w:rPr>
                    <w:t>9</w:t>
                  </w:r>
                  <w:r>
                    <w:rPr>
                      <w:color w:val="auto"/>
                      <w:highlight w:val="none"/>
                    </w:rPr>
                    <w:t>0</w:t>
                  </w:r>
                </w:p>
              </w:tc>
              <w:tc>
                <w:tcPr>
                  <w:tcW w:w="486" w:type="pct"/>
                  <w:vAlign w:val="center"/>
                </w:tcPr>
                <w:p w14:paraId="79FC8918">
                  <w:pPr>
                    <w:pStyle w:val="51"/>
                    <w:rPr>
                      <w:color w:val="auto"/>
                      <w:highlight w:val="none"/>
                    </w:rPr>
                  </w:pPr>
                  <w:r>
                    <w:rPr>
                      <w:rFonts w:hint="eastAsia"/>
                      <w:color w:val="auto"/>
                      <w:highlight w:val="none"/>
                    </w:rPr>
                    <w:t>8</w:t>
                  </w:r>
                  <w:r>
                    <w:rPr>
                      <w:color w:val="auto"/>
                      <w:highlight w:val="none"/>
                    </w:rPr>
                    <w:t>4</w:t>
                  </w:r>
                </w:p>
              </w:tc>
              <w:tc>
                <w:tcPr>
                  <w:tcW w:w="486" w:type="pct"/>
                  <w:vAlign w:val="center"/>
                </w:tcPr>
                <w:p w14:paraId="68244604">
                  <w:pPr>
                    <w:pStyle w:val="51"/>
                    <w:rPr>
                      <w:color w:val="auto"/>
                      <w:highlight w:val="none"/>
                    </w:rPr>
                  </w:pPr>
                  <w:r>
                    <w:rPr>
                      <w:rFonts w:hint="eastAsia"/>
                      <w:color w:val="auto"/>
                      <w:highlight w:val="none"/>
                    </w:rPr>
                    <w:t>7</w:t>
                  </w:r>
                  <w:r>
                    <w:rPr>
                      <w:color w:val="auto"/>
                      <w:highlight w:val="none"/>
                    </w:rPr>
                    <w:t>8</w:t>
                  </w:r>
                </w:p>
              </w:tc>
              <w:tc>
                <w:tcPr>
                  <w:tcW w:w="487" w:type="pct"/>
                  <w:vAlign w:val="center"/>
                </w:tcPr>
                <w:p w14:paraId="529F01A9">
                  <w:pPr>
                    <w:pStyle w:val="51"/>
                    <w:rPr>
                      <w:color w:val="auto"/>
                      <w:highlight w:val="none"/>
                    </w:rPr>
                  </w:pPr>
                  <w:r>
                    <w:rPr>
                      <w:rFonts w:hint="eastAsia"/>
                      <w:color w:val="auto"/>
                      <w:highlight w:val="none"/>
                    </w:rPr>
                    <w:t>7</w:t>
                  </w:r>
                  <w:r>
                    <w:rPr>
                      <w:color w:val="auto"/>
                      <w:highlight w:val="none"/>
                    </w:rPr>
                    <w:t>2</w:t>
                  </w:r>
                </w:p>
              </w:tc>
              <w:tc>
                <w:tcPr>
                  <w:tcW w:w="487" w:type="pct"/>
                  <w:vAlign w:val="center"/>
                </w:tcPr>
                <w:p w14:paraId="390F940D">
                  <w:pPr>
                    <w:pStyle w:val="51"/>
                    <w:rPr>
                      <w:color w:val="auto"/>
                      <w:highlight w:val="none"/>
                    </w:rPr>
                  </w:pPr>
                  <w:r>
                    <w:rPr>
                      <w:rFonts w:hint="eastAsia"/>
                      <w:color w:val="auto"/>
                      <w:highlight w:val="none"/>
                    </w:rPr>
                    <w:t>6</w:t>
                  </w:r>
                  <w:r>
                    <w:rPr>
                      <w:color w:val="auto"/>
                      <w:highlight w:val="none"/>
                    </w:rPr>
                    <w:t>8</w:t>
                  </w:r>
                </w:p>
              </w:tc>
              <w:tc>
                <w:tcPr>
                  <w:tcW w:w="486" w:type="pct"/>
                  <w:vAlign w:val="center"/>
                </w:tcPr>
                <w:p w14:paraId="25AF8087">
                  <w:pPr>
                    <w:pStyle w:val="51"/>
                    <w:rPr>
                      <w:color w:val="auto"/>
                      <w:highlight w:val="none"/>
                    </w:rPr>
                  </w:pPr>
                  <w:r>
                    <w:rPr>
                      <w:rFonts w:hint="eastAsia"/>
                      <w:color w:val="auto"/>
                      <w:highlight w:val="none"/>
                    </w:rPr>
                    <w:t>6</w:t>
                  </w:r>
                  <w:r>
                    <w:rPr>
                      <w:color w:val="auto"/>
                      <w:highlight w:val="none"/>
                    </w:rPr>
                    <w:t>4</w:t>
                  </w:r>
                </w:p>
              </w:tc>
              <w:tc>
                <w:tcPr>
                  <w:tcW w:w="561" w:type="pct"/>
                  <w:vAlign w:val="center"/>
                </w:tcPr>
                <w:p w14:paraId="58E291A9">
                  <w:pPr>
                    <w:pStyle w:val="51"/>
                    <w:rPr>
                      <w:color w:val="auto"/>
                      <w:highlight w:val="none"/>
                    </w:rPr>
                  </w:pPr>
                  <w:r>
                    <w:rPr>
                      <w:rFonts w:hint="eastAsia"/>
                      <w:color w:val="auto"/>
                      <w:highlight w:val="none"/>
                    </w:rPr>
                    <w:t>5</w:t>
                  </w:r>
                  <w:r>
                    <w:rPr>
                      <w:color w:val="auto"/>
                      <w:highlight w:val="none"/>
                    </w:rPr>
                    <w:t>8</w:t>
                  </w:r>
                </w:p>
              </w:tc>
            </w:tr>
            <w:tr w14:paraId="6F61AF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60708305">
                  <w:pPr>
                    <w:pStyle w:val="51"/>
                    <w:rPr>
                      <w:color w:val="auto"/>
                      <w:highlight w:val="none"/>
                    </w:rPr>
                  </w:pPr>
                  <w:r>
                    <w:rPr>
                      <w:rFonts w:hint="eastAsia"/>
                      <w:color w:val="auto"/>
                      <w:highlight w:val="none"/>
                    </w:rPr>
                    <w:t>3</w:t>
                  </w:r>
                </w:p>
              </w:tc>
              <w:tc>
                <w:tcPr>
                  <w:tcW w:w="586" w:type="pct"/>
                  <w:vAlign w:val="center"/>
                </w:tcPr>
                <w:p w14:paraId="575F3B4B">
                  <w:pPr>
                    <w:pStyle w:val="51"/>
                    <w:rPr>
                      <w:color w:val="auto"/>
                      <w:highlight w:val="none"/>
                    </w:rPr>
                  </w:pPr>
                  <w:r>
                    <w:rPr>
                      <w:rFonts w:hint="eastAsia"/>
                      <w:color w:val="auto"/>
                      <w:highlight w:val="none"/>
                    </w:rPr>
                    <w:t>自卸车</w:t>
                  </w:r>
                </w:p>
              </w:tc>
              <w:tc>
                <w:tcPr>
                  <w:tcW w:w="444" w:type="pct"/>
                  <w:vAlign w:val="center"/>
                </w:tcPr>
                <w:p w14:paraId="7B729C56">
                  <w:pPr>
                    <w:pStyle w:val="51"/>
                    <w:rPr>
                      <w:color w:val="auto"/>
                      <w:highlight w:val="none"/>
                    </w:rPr>
                  </w:pPr>
                  <w:r>
                    <w:rPr>
                      <w:rFonts w:hint="eastAsia"/>
                      <w:color w:val="auto"/>
                      <w:highlight w:val="none"/>
                    </w:rPr>
                    <w:t>5</w:t>
                  </w:r>
                </w:p>
              </w:tc>
              <w:tc>
                <w:tcPr>
                  <w:tcW w:w="701" w:type="pct"/>
                  <w:vAlign w:val="center"/>
                </w:tcPr>
                <w:p w14:paraId="76E48540">
                  <w:pPr>
                    <w:pStyle w:val="51"/>
                    <w:rPr>
                      <w:color w:val="auto"/>
                      <w:highlight w:val="none"/>
                    </w:rPr>
                  </w:pPr>
                  <w:r>
                    <w:rPr>
                      <w:rFonts w:hint="eastAsia"/>
                      <w:color w:val="auto"/>
                      <w:highlight w:val="none"/>
                    </w:rPr>
                    <w:t>8</w:t>
                  </w:r>
                  <w:r>
                    <w:rPr>
                      <w:color w:val="auto"/>
                      <w:highlight w:val="none"/>
                    </w:rPr>
                    <w:t>2</w:t>
                  </w:r>
                </w:p>
              </w:tc>
              <w:tc>
                <w:tcPr>
                  <w:tcW w:w="486" w:type="pct"/>
                  <w:vAlign w:val="center"/>
                </w:tcPr>
                <w:p w14:paraId="37D8EBC0">
                  <w:pPr>
                    <w:pStyle w:val="51"/>
                    <w:rPr>
                      <w:color w:val="auto"/>
                      <w:highlight w:val="none"/>
                    </w:rPr>
                  </w:pPr>
                  <w:r>
                    <w:rPr>
                      <w:rFonts w:hint="eastAsia"/>
                      <w:color w:val="auto"/>
                      <w:highlight w:val="none"/>
                    </w:rPr>
                    <w:t>7</w:t>
                  </w:r>
                  <w:r>
                    <w:rPr>
                      <w:color w:val="auto"/>
                      <w:highlight w:val="none"/>
                    </w:rPr>
                    <w:t>6</w:t>
                  </w:r>
                </w:p>
              </w:tc>
              <w:tc>
                <w:tcPr>
                  <w:tcW w:w="486" w:type="pct"/>
                  <w:vAlign w:val="center"/>
                </w:tcPr>
                <w:p w14:paraId="17D8F633">
                  <w:pPr>
                    <w:pStyle w:val="51"/>
                    <w:rPr>
                      <w:color w:val="auto"/>
                      <w:highlight w:val="none"/>
                    </w:rPr>
                  </w:pPr>
                  <w:r>
                    <w:rPr>
                      <w:rFonts w:hint="eastAsia"/>
                      <w:color w:val="auto"/>
                      <w:highlight w:val="none"/>
                    </w:rPr>
                    <w:t>7</w:t>
                  </w:r>
                  <w:r>
                    <w:rPr>
                      <w:color w:val="auto"/>
                      <w:highlight w:val="none"/>
                    </w:rPr>
                    <w:t>0</w:t>
                  </w:r>
                </w:p>
              </w:tc>
              <w:tc>
                <w:tcPr>
                  <w:tcW w:w="487" w:type="pct"/>
                  <w:vAlign w:val="center"/>
                </w:tcPr>
                <w:p w14:paraId="7969C702">
                  <w:pPr>
                    <w:pStyle w:val="51"/>
                    <w:rPr>
                      <w:color w:val="auto"/>
                      <w:highlight w:val="none"/>
                    </w:rPr>
                  </w:pPr>
                  <w:r>
                    <w:rPr>
                      <w:rFonts w:hint="eastAsia"/>
                      <w:color w:val="auto"/>
                      <w:highlight w:val="none"/>
                    </w:rPr>
                    <w:t>6</w:t>
                  </w:r>
                  <w:r>
                    <w:rPr>
                      <w:color w:val="auto"/>
                      <w:highlight w:val="none"/>
                    </w:rPr>
                    <w:t>4</w:t>
                  </w:r>
                </w:p>
              </w:tc>
              <w:tc>
                <w:tcPr>
                  <w:tcW w:w="487" w:type="pct"/>
                  <w:vAlign w:val="center"/>
                </w:tcPr>
                <w:p w14:paraId="6A0498AD">
                  <w:pPr>
                    <w:pStyle w:val="51"/>
                    <w:rPr>
                      <w:color w:val="auto"/>
                      <w:highlight w:val="none"/>
                    </w:rPr>
                  </w:pPr>
                  <w:r>
                    <w:rPr>
                      <w:rFonts w:hint="eastAsia"/>
                      <w:color w:val="auto"/>
                      <w:highlight w:val="none"/>
                    </w:rPr>
                    <w:t>6</w:t>
                  </w:r>
                  <w:r>
                    <w:rPr>
                      <w:color w:val="auto"/>
                      <w:highlight w:val="none"/>
                    </w:rPr>
                    <w:t>0</w:t>
                  </w:r>
                </w:p>
              </w:tc>
              <w:tc>
                <w:tcPr>
                  <w:tcW w:w="486" w:type="pct"/>
                  <w:vAlign w:val="center"/>
                </w:tcPr>
                <w:p w14:paraId="4D6215EA">
                  <w:pPr>
                    <w:pStyle w:val="51"/>
                    <w:rPr>
                      <w:color w:val="auto"/>
                      <w:highlight w:val="none"/>
                    </w:rPr>
                  </w:pPr>
                  <w:r>
                    <w:rPr>
                      <w:rFonts w:hint="eastAsia"/>
                      <w:color w:val="auto"/>
                      <w:highlight w:val="none"/>
                    </w:rPr>
                    <w:t>5</w:t>
                  </w:r>
                  <w:r>
                    <w:rPr>
                      <w:color w:val="auto"/>
                      <w:highlight w:val="none"/>
                    </w:rPr>
                    <w:t>6</w:t>
                  </w:r>
                </w:p>
              </w:tc>
              <w:tc>
                <w:tcPr>
                  <w:tcW w:w="561" w:type="pct"/>
                  <w:vAlign w:val="center"/>
                </w:tcPr>
                <w:p w14:paraId="46EF8F85">
                  <w:pPr>
                    <w:pStyle w:val="51"/>
                    <w:rPr>
                      <w:color w:val="auto"/>
                      <w:highlight w:val="none"/>
                    </w:rPr>
                  </w:pPr>
                  <w:r>
                    <w:rPr>
                      <w:rFonts w:hint="eastAsia"/>
                      <w:color w:val="auto"/>
                      <w:highlight w:val="none"/>
                    </w:rPr>
                    <w:t>5</w:t>
                  </w:r>
                  <w:r>
                    <w:rPr>
                      <w:color w:val="auto"/>
                      <w:highlight w:val="none"/>
                    </w:rPr>
                    <w:t>0</w:t>
                  </w:r>
                </w:p>
              </w:tc>
            </w:tr>
            <w:tr w14:paraId="1E0D38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1189D3E6">
                  <w:pPr>
                    <w:pStyle w:val="51"/>
                    <w:rPr>
                      <w:color w:val="auto"/>
                      <w:highlight w:val="none"/>
                    </w:rPr>
                  </w:pPr>
                  <w:r>
                    <w:rPr>
                      <w:rFonts w:hint="eastAsia"/>
                      <w:color w:val="auto"/>
                      <w:highlight w:val="none"/>
                    </w:rPr>
                    <w:t>4</w:t>
                  </w:r>
                </w:p>
              </w:tc>
              <w:tc>
                <w:tcPr>
                  <w:tcW w:w="586" w:type="pct"/>
                  <w:vAlign w:val="center"/>
                </w:tcPr>
                <w:p w14:paraId="6F92D8EC">
                  <w:pPr>
                    <w:pStyle w:val="51"/>
                    <w:rPr>
                      <w:color w:val="auto"/>
                      <w:highlight w:val="none"/>
                    </w:rPr>
                  </w:pPr>
                  <w:r>
                    <w:rPr>
                      <w:rFonts w:hint="eastAsia"/>
                      <w:color w:val="auto"/>
                      <w:highlight w:val="none"/>
                    </w:rPr>
                    <w:t>推土机</w:t>
                  </w:r>
                </w:p>
              </w:tc>
              <w:tc>
                <w:tcPr>
                  <w:tcW w:w="444" w:type="pct"/>
                  <w:vAlign w:val="center"/>
                </w:tcPr>
                <w:p w14:paraId="6F98C2AD">
                  <w:pPr>
                    <w:pStyle w:val="51"/>
                    <w:rPr>
                      <w:color w:val="auto"/>
                      <w:highlight w:val="none"/>
                    </w:rPr>
                  </w:pPr>
                  <w:r>
                    <w:rPr>
                      <w:rFonts w:hint="eastAsia"/>
                      <w:color w:val="auto"/>
                      <w:highlight w:val="none"/>
                    </w:rPr>
                    <w:t>5</w:t>
                  </w:r>
                </w:p>
              </w:tc>
              <w:tc>
                <w:tcPr>
                  <w:tcW w:w="701" w:type="pct"/>
                  <w:vAlign w:val="center"/>
                </w:tcPr>
                <w:p w14:paraId="52716B3F">
                  <w:pPr>
                    <w:pStyle w:val="51"/>
                    <w:rPr>
                      <w:color w:val="auto"/>
                      <w:highlight w:val="none"/>
                    </w:rPr>
                  </w:pPr>
                  <w:r>
                    <w:rPr>
                      <w:rFonts w:hint="eastAsia"/>
                      <w:color w:val="auto"/>
                      <w:highlight w:val="none"/>
                    </w:rPr>
                    <w:t>8</w:t>
                  </w:r>
                  <w:r>
                    <w:rPr>
                      <w:color w:val="auto"/>
                      <w:highlight w:val="none"/>
                    </w:rPr>
                    <w:t>3</w:t>
                  </w:r>
                </w:p>
              </w:tc>
              <w:tc>
                <w:tcPr>
                  <w:tcW w:w="486" w:type="pct"/>
                  <w:vAlign w:val="center"/>
                </w:tcPr>
                <w:p w14:paraId="642C283A">
                  <w:pPr>
                    <w:pStyle w:val="51"/>
                    <w:rPr>
                      <w:color w:val="auto"/>
                      <w:highlight w:val="none"/>
                    </w:rPr>
                  </w:pPr>
                  <w:r>
                    <w:rPr>
                      <w:rFonts w:hint="eastAsia"/>
                      <w:color w:val="auto"/>
                      <w:highlight w:val="none"/>
                    </w:rPr>
                    <w:t>7</w:t>
                  </w:r>
                  <w:r>
                    <w:rPr>
                      <w:color w:val="auto"/>
                      <w:highlight w:val="none"/>
                    </w:rPr>
                    <w:t>7</w:t>
                  </w:r>
                </w:p>
              </w:tc>
              <w:tc>
                <w:tcPr>
                  <w:tcW w:w="486" w:type="pct"/>
                  <w:vAlign w:val="center"/>
                </w:tcPr>
                <w:p w14:paraId="0D1018D5">
                  <w:pPr>
                    <w:pStyle w:val="51"/>
                    <w:rPr>
                      <w:color w:val="auto"/>
                      <w:highlight w:val="none"/>
                    </w:rPr>
                  </w:pPr>
                  <w:r>
                    <w:rPr>
                      <w:rFonts w:hint="eastAsia"/>
                      <w:color w:val="auto"/>
                      <w:highlight w:val="none"/>
                    </w:rPr>
                    <w:t>7</w:t>
                  </w:r>
                  <w:r>
                    <w:rPr>
                      <w:color w:val="auto"/>
                      <w:highlight w:val="none"/>
                    </w:rPr>
                    <w:t>1</w:t>
                  </w:r>
                </w:p>
              </w:tc>
              <w:tc>
                <w:tcPr>
                  <w:tcW w:w="487" w:type="pct"/>
                  <w:vAlign w:val="center"/>
                </w:tcPr>
                <w:p w14:paraId="3D955C1A">
                  <w:pPr>
                    <w:pStyle w:val="51"/>
                    <w:rPr>
                      <w:color w:val="auto"/>
                      <w:highlight w:val="none"/>
                    </w:rPr>
                  </w:pPr>
                  <w:r>
                    <w:rPr>
                      <w:rFonts w:hint="eastAsia"/>
                      <w:color w:val="auto"/>
                      <w:highlight w:val="none"/>
                    </w:rPr>
                    <w:t>6</w:t>
                  </w:r>
                  <w:r>
                    <w:rPr>
                      <w:color w:val="auto"/>
                      <w:highlight w:val="none"/>
                    </w:rPr>
                    <w:t>5</w:t>
                  </w:r>
                </w:p>
              </w:tc>
              <w:tc>
                <w:tcPr>
                  <w:tcW w:w="487" w:type="pct"/>
                  <w:vAlign w:val="center"/>
                </w:tcPr>
                <w:p w14:paraId="25FB182E">
                  <w:pPr>
                    <w:pStyle w:val="51"/>
                    <w:rPr>
                      <w:color w:val="auto"/>
                      <w:highlight w:val="none"/>
                    </w:rPr>
                  </w:pPr>
                  <w:r>
                    <w:rPr>
                      <w:rFonts w:hint="eastAsia"/>
                      <w:color w:val="auto"/>
                      <w:highlight w:val="none"/>
                    </w:rPr>
                    <w:t>6</w:t>
                  </w:r>
                  <w:r>
                    <w:rPr>
                      <w:color w:val="auto"/>
                      <w:highlight w:val="none"/>
                    </w:rPr>
                    <w:t>1</w:t>
                  </w:r>
                </w:p>
              </w:tc>
              <w:tc>
                <w:tcPr>
                  <w:tcW w:w="486" w:type="pct"/>
                  <w:vAlign w:val="center"/>
                </w:tcPr>
                <w:p w14:paraId="2CDB622C">
                  <w:pPr>
                    <w:pStyle w:val="51"/>
                    <w:rPr>
                      <w:color w:val="auto"/>
                      <w:highlight w:val="none"/>
                    </w:rPr>
                  </w:pPr>
                  <w:r>
                    <w:rPr>
                      <w:rFonts w:hint="eastAsia"/>
                      <w:color w:val="auto"/>
                      <w:highlight w:val="none"/>
                    </w:rPr>
                    <w:t>5</w:t>
                  </w:r>
                  <w:r>
                    <w:rPr>
                      <w:color w:val="auto"/>
                      <w:highlight w:val="none"/>
                    </w:rPr>
                    <w:t>7</w:t>
                  </w:r>
                </w:p>
              </w:tc>
              <w:tc>
                <w:tcPr>
                  <w:tcW w:w="561" w:type="pct"/>
                  <w:vAlign w:val="center"/>
                </w:tcPr>
                <w:p w14:paraId="7751F411">
                  <w:pPr>
                    <w:pStyle w:val="51"/>
                    <w:rPr>
                      <w:color w:val="auto"/>
                      <w:highlight w:val="none"/>
                    </w:rPr>
                  </w:pPr>
                  <w:r>
                    <w:rPr>
                      <w:rFonts w:hint="eastAsia"/>
                      <w:color w:val="auto"/>
                      <w:highlight w:val="none"/>
                    </w:rPr>
                    <w:t>5</w:t>
                  </w:r>
                  <w:r>
                    <w:rPr>
                      <w:color w:val="auto"/>
                      <w:highlight w:val="none"/>
                    </w:rPr>
                    <w:t>1</w:t>
                  </w:r>
                </w:p>
              </w:tc>
            </w:tr>
            <w:tr w14:paraId="5CCD49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7C367D46">
                  <w:pPr>
                    <w:pStyle w:val="51"/>
                    <w:rPr>
                      <w:color w:val="auto"/>
                      <w:highlight w:val="none"/>
                    </w:rPr>
                  </w:pPr>
                  <w:r>
                    <w:rPr>
                      <w:color w:val="auto"/>
                      <w:highlight w:val="none"/>
                    </w:rPr>
                    <w:t>5</w:t>
                  </w:r>
                </w:p>
              </w:tc>
              <w:tc>
                <w:tcPr>
                  <w:tcW w:w="586" w:type="pct"/>
                  <w:vAlign w:val="center"/>
                </w:tcPr>
                <w:p w14:paraId="5170DE50">
                  <w:pPr>
                    <w:pStyle w:val="51"/>
                    <w:rPr>
                      <w:color w:val="auto"/>
                      <w:highlight w:val="none"/>
                    </w:rPr>
                  </w:pPr>
                  <w:r>
                    <w:rPr>
                      <w:rFonts w:hint="eastAsia"/>
                      <w:color w:val="auto"/>
                      <w:highlight w:val="none"/>
                    </w:rPr>
                    <w:t>泵类</w:t>
                  </w:r>
                </w:p>
              </w:tc>
              <w:tc>
                <w:tcPr>
                  <w:tcW w:w="444" w:type="pct"/>
                  <w:vAlign w:val="center"/>
                </w:tcPr>
                <w:p w14:paraId="720D94E0">
                  <w:pPr>
                    <w:pStyle w:val="51"/>
                    <w:rPr>
                      <w:color w:val="auto"/>
                      <w:highlight w:val="none"/>
                    </w:rPr>
                  </w:pPr>
                  <w:r>
                    <w:rPr>
                      <w:rFonts w:hint="eastAsia"/>
                      <w:color w:val="auto"/>
                      <w:highlight w:val="none"/>
                    </w:rPr>
                    <w:t>5</w:t>
                  </w:r>
                </w:p>
              </w:tc>
              <w:tc>
                <w:tcPr>
                  <w:tcW w:w="701" w:type="pct"/>
                  <w:vAlign w:val="center"/>
                </w:tcPr>
                <w:p w14:paraId="0E155235">
                  <w:pPr>
                    <w:pStyle w:val="51"/>
                    <w:rPr>
                      <w:color w:val="auto"/>
                      <w:highlight w:val="none"/>
                    </w:rPr>
                  </w:pPr>
                  <w:r>
                    <w:rPr>
                      <w:rFonts w:hint="eastAsia"/>
                      <w:color w:val="auto"/>
                      <w:highlight w:val="none"/>
                    </w:rPr>
                    <w:t>8</w:t>
                  </w:r>
                  <w:r>
                    <w:rPr>
                      <w:color w:val="auto"/>
                      <w:highlight w:val="none"/>
                    </w:rPr>
                    <w:t>5</w:t>
                  </w:r>
                </w:p>
              </w:tc>
              <w:tc>
                <w:tcPr>
                  <w:tcW w:w="486" w:type="pct"/>
                  <w:vAlign w:val="center"/>
                </w:tcPr>
                <w:p w14:paraId="62FF8668">
                  <w:pPr>
                    <w:pStyle w:val="51"/>
                    <w:rPr>
                      <w:color w:val="auto"/>
                      <w:highlight w:val="none"/>
                    </w:rPr>
                  </w:pPr>
                  <w:r>
                    <w:rPr>
                      <w:rFonts w:hint="eastAsia"/>
                      <w:color w:val="auto"/>
                      <w:highlight w:val="none"/>
                    </w:rPr>
                    <w:t>7</w:t>
                  </w:r>
                  <w:r>
                    <w:rPr>
                      <w:color w:val="auto"/>
                      <w:highlight w:val="none"/>
                    </w:rPr>
                    <w:t>9</w:t>
                  </w:r>
                </w:p>
              </w:tc>
              <w:tc>
                <w:tcPr>
                  <w:tcW w:w="486" w:type="pct"/>
                  <w:vAlign w:val="center"/>
                </w:tcPr>
                <w:p w14:paraId="7FD424BC">
                  <w:pPr>
                    <w:pStyle w:val="51"/>
                    <w:rPr>
                      <w:color w:val="auto"/>
                      <w:highlight w:val="none"/>
                    </w:rPr>
                  </w:pPr>
                  <w:r>
                    <w:rPr>
                      <w:rFonts w:hint="eastAsia"/>
                      <w:color w:val="auto"/>
                      <w:highlight w:val="none"/>
                    </w:rPr>
                    <w:t>7</w:t>
                  </w:r>
                  <w:r>
                    <w:rPr>
                      <w:color w:val="auto"/>
                      <w:highlight w:val="none"/>
                    </w:rPr>
                    <w:t>3</w:t>
                  </w:r>
                </w:p>
              </w:tc>
              <w:tc>
                <w:tcPr>
                  <w:tcW w:w="487" w:type="pct"/>
                  <w:vAlign w:val="center"/>
                </w:tcPr>
                <w:p w14:paraId="08924227">
                  <w:pPr>
                    <w:pStyle w:val="51"/>
                    <w:rPr>
                      <w:color w:val="auto"/>
                      <w:highlight w:val="none"/>
                    </w:rPr>
                  </w:pPr>
                  <w:r>
                    <w:rPr>
                      <w:rFonts w:hint="eastAsia"/>
                      <w:color w:val="auto"/>
                      <w:highlight w:val="none"/>
                    </w:rPr>
                    <w:t>6</w:t>
                  </w:r>
                  <w:r>
                    <w:rPr>
                      <w:color w:val="auto"/>
                      <w:highlight w:val="none"/>
                    </w:rPr>
                    <w:t>7</w:t>
                  </w:r>
                </w:p>
              </w:tc>
              <w:tc>
                <w:tcPr>
                  <w:tcW w:w="487" w:type="pct"/>
                  <w:vAlign w:val="center"/>
                </w:tcPr>
                <w:p w14:paraId="6E007D66">
                  <w:pPr>
                    <w:pStyle w:val="51"/>
                    <w:rPr>
                      <w:color w:val="auto"/>
                      <w:highlight w:val="none"/>
                    </w:rPr>
                  </w:pPr>
                  <w:r>
                    <w:rPr>
                      <w:rFonts w:hint="eastAsia"/>
                      <w:color w:val="auto"/>
                      <w:highlight w:val="none"/>
                    </w:rPr>
                    <w:t>6</w:t>
                  </w:r>
                  <w:r>
                    <w:rPr>
                      <w:color w:val="auto"/>
                      <w:highlight w:val="none"/>
                    </w:rPr>
                    <w:t>3</w:t>
                  </w:r>
                </w:p>
              </w:tc>
              <w:tc>
                <w:tcPr>
                  <w:tcW w:w="486" w:type="pct"/>
                  <w:vAlign w:val="center"/>
                </w:tcPr>
                <w:p w14:paraId="23D7AAD7">
                  <w:pPr>
                    <w:pStyle w:val="51"/>
                    <w:rPr>
                      <w:color w:val="auto"/>
                      <w:highlight w:val="none"/>
                    </w:rPr>
                  </w:pPr>
                  <w:r>
                    <w:rPr>
                      <w:rFonts w:hint="eastAsia"/>
                      <w:color w:val="auto"/>
                      <w:highlight w:val="none"/>
                    </w:rPr>
                    <w:t>5</w:t>
                  </w:r>
                  <w:r>
                    <w:rPr>
                      <w:color w:val="auto"/>
                      <w:highlight w:val="none"/>
                    </w:rPr>
                    <w:t>9</w:t>
                  </w:r>
                </w:p>
              </w:tc>
              <w:tc>
                <w:tcPr>
                  <w:tcW w:w="561" w:type="pct"/>
                  <w:vAlign w:val="center"/>
                </w:tcPr>
                <w:p w14:paraId="23C1CC74">
                  <w:pPr>
                    <w:pStyle w:val="51"/>
                    <w:rPr>
                      <w:color w:val="auto"/>
                      <w:highlight w:val="none"/>
                    </w:rPr>
                  </w:pPr>
                  <w:r>
                    <w:rPr>
                      <w:rFonts w:hint="eastAsia"/>
                      <w:color w:val="auto"/>
                      <w:highlight w:val="none"/>
                    </w:rPr>
                    <w:t>5</w:t>
                  </w:r>
                  <w:r>
                    <w:rPr>
                      <w:color w:val="auto"/>
                      <w:highlight w:val="none"/>
                    </w:rPr>
                    <w:t>3</w:t>
                  </w:r>
                </w:p>
              </w:tc>
            </w:tr>
          </w:tbl>
          <w:p w14:paraId="4A8A42D1">
            <w:pPr>
              <w:pStyle w:val="56"/>
              <w:ind w:firstLine="420"/>
              <w:rPr>
                <w:color w:val="auto"/>
                <w:highlight w:val="none"/>
              </w:rPr>
            </w:pPr>
            <w:r>
              <w:rPr>
                <w:color w:val="auto"/>
                <w:highlight w:val="none"/>
              </w:rPr>
              <w:t>由上表计算结果可知</w:t>
            </w:r>
            <w:r>
              <w:rPr>
                <w:rFonts w:hint="eastAsia"/>
                <w:color w:val="auto"/>
                <w:highlight w:val="none"/>
              </w:rPr>
              <w:t>，单台机械设备在60m处产生的声级值均能满足《建筑施工场界环境噪声排放标准》（GB12523-2011）昼间标准要求。随着距离加大，均有明显衰减，至200m处噪声贡献值一般均在55dB（A）以下。</w:t>
            </w:r>
          </w:p>
          <w:p w14:paraId="534A3AB1">
            <w:pPr>
              <w:pStyle w:val="56"/>
              <w:ind w:firstLine="420"/>
              <w:rPr>
                <w:rFonts w:hint="default"/>
                <w:color w:val="auto"/>
                <w:highlight w:val="none"/>
                <w:lang w:val="en-US" w:eastAsia="zh-CN"/>
              </w:rPr>
            </w:pPr>
            <w:r>
              <w:rPr>
                <w:rFonts w:hint="default"/>
                <w:color w:val="auto"/>
                <w:highlight w:val="none"/>
              </w:rPr>
              <w:t>施工噪声具有阶段性、临时性和不固定性，不同的施工设备产生的噪声不同。</w:t>
            </w:r>
            <w:r>
              <w:rPr>
                <w:rFonts w:hint="default"/>
                <w:color w:val="auto"/>
                <w:highlight w:val="none"/>
                <w:lang w:eastAsia="zh-CN"/>
              </w:rPr>
              <w:t>施工过程中要</w:t>
            </w:r>
            <w:r>
              <w:rPr>
                <w:rFonts w:hint="default"/>
                <w:color w:val="auto"/>
                <w:highlight w:val="none"/>
              </w:rPr>
              <w:t>严格按《建筑施工场界环境噪声排放标准》（GB12523-2011）对施工场界进行噪声控制，以减少对周围声环境的影响。</w:t>
            </w:r>
          </w:p>
          <w:p w14:paraId="5E44945E">
            <w:pPr>
              <w:pStyle w:val="56"/>
              <w:ind w:firstLine="420"/>
              <w:rPr>
                <w:color w:val="auto"/>
                <w:highlight w:val="none"/>
              </w:rPr>
            </w:pPr>
            <w:r>
              <w:rPr>
                <w:color w:val="auto"/>
                <w:highlight w:val="none"/>
              </w:rPr>
              <w:t>4、施工期</w:t>
            </w:r>
            <w:r>
              <w:rPr>
                <w:rFonts w:hint="eastAsia"/>
                <w:color w:val="auto"/>
                <w:highlight w:val="none"/>
              </w:rPr>
              <w:t>固体废物影响分析</w:t>
            </w:r>
          </w:p>
          <w:p w14:paraId="29E389BA">
            <w:pPr>
              <w:pStyle w:val="56"/>
              <w:ind w:firstLine="420"/>
              <w:rPr>
                <w:color w:val="auto"/>
                <w:highlight w:val="none"/>
              </w:rPr>
            </w:pPr>
            <w:r>
              <w:rPr>
                <w:rFonts w:hint="eastAsia"/>
                <w:color w:val="auto"/>
                <w:highlight w:val="none"/>
              </w:rPr>
              <w:t>施工人员在施工期间将产生一定量的生活垃圾，本项目施工人员</w:t>
            </w:r>
            <w:r>
              <w:rPr>
                <w:rFonts w:hint="eastAsia"/>
                <w:color w:val="auto"/>
                <w:highlight w:val="none"/>
                <w:lang w:val="en-US" w:eastAsia="zh-CN"/>
              </w:rPr>
              <w:t>50</w:t>
            </w:r>
            <w:r>
              <w:rPr>
                <w:rFonts w:hint="eastAsia"/>
                <w:color w:val="auto"/>
                <w:highlight w:val="none"/>
              </w:rPr>
              <w:t>人，施工人员生活垃圾产生量按0.1kg/人·d计，生活垃圾产生量约为</w:t>
            </w:r>
            <w:r>
              <w:rPr>
                <w:rFonts w:hint="eastAsia"/>
                <w:color w:val="auto"/>
                <w:highlight w:val="none"/>
                <w:lang w:val="en-US" w:eastAsia="zh-CN"/>
              </w:rPr>
              <w:t>0.005</w:t>
            </w:r>
            <w:r>
              <w:rPr>
                <w:rFonts w:hint="eastAsia"/>
                <w:color w:val="auto"/>
                <w:highlight w:val="none"/>
              </w:rPr>
              <w:t>t/d。生活垃圾若随意堆放，不仅影响施工区环境景观，而且影响施工区环境卫生，夏秋季节易造成蚊、蝇孳生或鼠类繁殖，导致疾病流行，进而威胁施工人员身体健康。因此，需对生活垃圾集中收集后交由环卫部门统一处理。</w:t>
            </w:r>
          </w:p>
          <w:p w14:paraId="1F6E378D">
            <w:pPr>
              <w:pStyle w:val="56"/>
              <w:ind w:firstLine="420"/>
              <w:rPr>
                <w:color w:val="auto"/>
                <w:highlight w:val="none"/>
              </w:rPr>
            </w:pPr>
            <w:r>
              <w:rPr>
                <w:color w:val="auto"/>
                <w:highlight w:val="none"/>
              </w:rPr>
              <w:t>5</w:t>
            </w:r>
            <w:r>
              <w:rPr>
                <w:rFonts w:hint="eastAsia"/>
                <w:color w:val="auto"/>
                <w:highlight w:val="none"/>
              </w:rPr>
              <w:t>、施工期生态环境影响分析</w:t>
            </w:r>
          </w:p>
          <w:p w14:paraId="36EAEC8F">
            <w:pPr>
              <w:pStyle w:val="56"/>
              <w:ind w:firstLine="420"/>
              <w:rPr>
                <w:color w:val="auto"/>
                <w:highlight w:val="none"/>
              </w:rPr>
            </w:pPr>
            <w:r>
              <w:rPr>
                <w:rFonts w:hint="eastAsia"/>
                <w:color w:val="auto"/>
                <w:highlight w:val="none"/>
              </w:rPr>
              <w:t>（</w:t>
            </w:r>
            <w:r>
              <w:rPr>
                <w:rFonts w:hint="eastAsia"/>
                <w:color w:val="auto"/>
                <w:highlight w:val="none"/>
                <w:lang w:val="en-US" w:eastAsia="zh-CN"/>
              </w:rPr>
              <w:t>1</w:t>
            </w:r>
            <w:r>
              <w:rPr>
                <w:rFonts w:hint="eastAsia"/>
                <w:color w:val="auto"/>
                <w:highlight w:val="none"/>
              </w:rPr>
              <w:t>）对陆生生态环境的影响分析</w:t>
            </w:r>
          </w:p>
          <w:p w14:paraId="566317AB">
            <w:pPr>
              <w:pStyle w:val="56"/>
              <w:ind w:firstLine="420"/>
              <w:rPr>
                <w:color w:val="auto"/>
                <w:highlight w:val="none"/>
              </w:rPr>
            </w:pPr>
            <w:r>
              <w:rPr>
                <w:rFonts w:hint="eastAsia"/>
                <w:color w:val="auto"/>
                <w:highlight w:val="none"/>
              </w:rPr>
              <w:t>根据现场踏勘及有关资料的调查，项目区所在地主要为农田</w:t>
            </w:r>
            <w:r>
              <w:rPr>
                <w:rFonts w:hint="eastAsia"/>
                <w:color w:val="auto"/>
                <w:highlight w:val="none"/>
                <w:lang w:val="en-US" w:eastAsia="zh-CN"/>
              </w:rPr>
              <w:t>及湿地</w:t>
            </w:r>
            <w:r>
              <w:rPr>
                <w:rFonts w:hint="eastAsia"/>
                <w:color w:val="auto"/>
                <w:highlight w:val="none"/>
              </w:rPr>
              <w:t>生态系统，项目区区域内没有珍稀动物及大型哺乳动物，仅有一些常见鸟类和啮齿类动物少量存在，其生境在当地广泛分布。本工程对陆生植物的影响范围仅在施工区域范围内。</w:t>
            </w:r>
          </w:p>
          <w:p w14:paraId="328FE825">
            <w:pPr>
              <w:pStyle w:val="56"/>
              <w:ind w:firstLine="420"/>
              <w:rPr>
                <w:color w:val="auto"/>
                <w:highlight w:val="none"/>
              </w:rPr>
            </w:pPr>
            <w:r>
              <w:rPr>
                <w:rFonts w:hint="eastAsia"/>
                <w:color w:val="auto"/>
                <w:highlight w:val="none"/>
              </w:rPr>
              <w:t>工程占地将减少植被的生物量，对工程所在区域自然生态系统产生不利影响。但工程占地较少，其影响只是在护岸两侧周边一定范围内，对于其外区域不产生影响。工程建成后通过采取绿化等措施后，可以弥补工程区的生物量，对生态环境影响相对较小。</w:t>
            </w:r>
          </w:p>
          <w:p w14:paraId="55C991EE">
            <w:pPr>
              <w:pStyle w:val="56"/>
              <w:ind w:firstLine="420"/>
              <w:rPr>
                <w:color w:val="auto"/>
                <w:highlight w:val="none"/>
              </w:rPr>
            </w:pPr>
            <w:r>
              <w:rPr>
                <w:rFonts w:hint="eastAsia"/>
                <w:color w:val="auto"/>
                <w:highlight w:val="none"/>
              </w:rPr>
              <w:t>工程结束后，河岸的防洪能力得到提升，改善当地水土流失现状，项目区周围大面积生物量得到恢复，大于本工程占地过程减少的生物量，因此，项目所在区整体生物量及生物多样性得到改善。</w:t>
            </w:r>
          </w:p>
          <w:p w14:paraId="30F04409">
            <w:pPr>
              <w:pStyle w:val="56"/>
              <w:ind w:firstLine="420"/>
              <w:rPr>
                <w:color w:val="auto"/>
                <w:highlight w:val="none"/>
              </w:rPr>
            </w:pPr>
            <w:r>
              <w:rPr>
                <w:rFonts w:hint="eastAsia"/>
                <w:color w:val="auto"/>
                <w:highlight w:val="none"/>
              </w:rPr>
              <w:t>护岸工程原料用机动翻斗车运到施工段附近。人工操作，减少施工机械的使用，采用预制构件，减少水泥、砂石等原材料的运输和使用，从而可以减少粉尘和施工噪声的产生。减少粉尘对施工区植被生长的影响，减少噪声，可减少对周围动物的惊扰。</w:t>
            </w:r>
          </w:p>
          <w:p w14:paraId="53217BE6">
            <w:pPr>
              <w:pStyle w:val="56"/>
              <w:ind w:firstLine="420"/>
              <w:rPr>
                <w:color w:val="auto"/>
                <w:highlight w:val="none"/>
              </w:rPr>
            </w:pPr>
            <w:r>
              <w:rPr>
                <w:rFonts w:hint="eastAsia"/>
                <w:color w:val="auto"/>
                <w:highlight w:val="none"/>
              </w:rPr>
              <w:t>工程施工对野生动物的影响表现为：工程施工活动可能干扰工程区内野生动物的正常栖息觅食，施工噪声会对其产生惊扰，施工对陆生动物的影响范围在两侧</w:t>
            </w:r>
            <w:r>
              <w:rPr>
                <w:color w:val="auto"/>
                <w:highlight w:val="none"/>
              </w:rPr>
              <w:t>3</w:t>
            </w:r>
            <w:r>
              <w:rPr>
                <w:rFonts w:hint="eastAsia"/>
                <w:color w:val="auto"/>
                <w:highlight w:val="none"/>
              </w:rPr>
              <w:t>00m范围内，施工活动对陆生野生动物生存的空间影响范围与程度有限，并且随着施工活动的结束这些影响也将消失。因此，本工程对陆生生物的影响很小，并且在施工结束后，这种影响会慢慢消失。</w:t>
            </w:r>
          </w:p>
          <w:p w14:paraId="1F379248">
            <w:pPr>
              <w:pStyle w:val="56"/>
              <w:ind w:firstLine="420"/>
              <w:rPr>
                <w:color w:val="auto"/>
                <w:highlight w:val="none"/>
              </w:rPr>
            </w:pPr>
            <w:r>
              <w:rPr>
                <w:rFonts w:hint="eastAsia"/>
                <w:color w:val="auto"/>
                <w:highlight w:val="none"/>
              </w:rPr>
              <w:t>（</w:t>
            </w:r>
            <w:r>
              <w:rPr>
                <w:rFonts w:hint="eastAsia"/>
                <w:color w:val="auto"/>
                <w:highlight w:val="none"/>
                <w:lang w:val="en-US" w:eastAsia="zh-CN"/>
              </w:rPr>
              <w:t>2</w:t>
            </w:r>
            <w:r>
              <w:rPr>
                <w:rFonts w:hint="eastAsia"/>
                <w:color w:val="auto"/>
                <w:highlight w:val="none"/>
              </w:rPr>
              <w:t>）对水生生物的影响分析</w:t>
            </w:r>
          </w:p>
          <w:p w14:paraId="3EE928E7">
            <w:pPr>
              <w:pStyle w:val="56"/>
              <w:ind w:firstLine="420"/>
              <w:rPr>
                <w:color w:val="auto"/>
                <w:highlight w:val="none"/>
              </w:rPr>
            </w:pPr>
            <w:r>
              <w:rPr>
                <w:rFonts w:hint="eastAsia"/>
                <w:color w:val="auto"/>
                <w:highlight w:val="none"/>
              </w:rPr>
              <w:t>本项目施工过程中无导流工程施工，施工过程中土料、物料及一些废水废渣在地表径流的作用下有可能会进入</w:t>
            </w:r>
            <w:r>
              <w:rPr>
                <w:rFonts w:hint="eastAsia"/>
                <w:color w:val="auto"/>
                <w:highlight w:val="none"/>
                <w:lang w:val="en-US" w:eastAsia="zh-CN"/>
              </w:rPr>
              <w:t>大带</w:t>
            </w:r>
            <w:r>
              <w:rPr>
                <w:rFonts w:hint="eastAsia"/>
                <w:color w:val="auto"/>
                <w:highlight w:val="none"/>
              </w:rPr>
              <w:t>河中，导致水体短期内悬浮物含量增加，从而对工程附近和下游水体中水生生物产生不利影响。但这些不利影响范围都局限于下游一定长度的水体，影响时段仅为施工期。</w:t>
            </w:r>
          </w:p>
          <w:p w14:paraId="65405771">
            <w:pPr>
              <w:pStyle w:val="56"/>
              <w:ind w:firstLine="420"/>
              <w:rPr>
                <w:color w:val="auto"/>
                <w:highlight w:val="none"/>
              </w:rPr>
            </w:pPr>
            <w:r>
              <w:rPr>
                <w:rFonts w:hint="eastAsia"/>
                <w:color w:val="auto"/>
                <w:highlight w:val="none"/>
              </w:rPr>
              <w:t>施工点周边水域悬浮物浓度急剧增加，水体透明度下降，浮游植物光合作用受影响，其生长和繁殖活动将减弱，继而导致其生物量下降；当施工段推移后，原施工区短期内底质中营养盐释放，悬浮物沉降，透明度增加，使周边水体生产力提高，浮游植物生物量将增加。浮游动物主要以浮游植物为食，其种群资源量变动趋势将与浮游植物变动趋势基本相近。</w:t>
            </w:r>
          </w:p>
          <w:p w14:paraId="0FBE4194">
            <w:pPr>
              <w:pStyle w:val="56"/>
              <w:ind w:firstLine="420"/>
              <w:rPr>
                <w:rFonts w:hint="eastAsia"/>
                <w:color w:val="auto"/>
                <w:highlight w:val="none"/>
                <w:lang w:eastAsia="zh-CN"/>
              </w:rPr>
            </w:pPr>
            <w:r>
              <w:rPr>
                <w:rFonts w:hint="eastAsia" w:ascii="Times New Roman" w:hAnsi="Times New Roman" w:eastAsia="宋体" w:cs="Times New Roman"/>
                <w:color w:val="auto"/>
                <w:kern w:val="2"/>
                <w:sz w:val="21"/>
                <w:szCs w:val="24"/>
                <w:highlight w:val="none"/>
                <w:lang w:val="en-US" w:eastAsia="zh-CN" w:bidi="ar-SA"/>
              </w:rPr>
              <w:t>新建堤防均是在原有堤防的基础上进行的修建，</w:t>
            </w:r>
            <w:r>
              <w:rPr>
                <w:rFonts w:hint="eastAsia"/>
                <w:color w:val="auto"/>
                <w:highlight w:val="none"/>
              </w:rPr>
              <w:t>不会对水文情势产生影响。新建堤防会对河段水位、流速、水深和水面宽度等水力要素产生影响，进而影响河流水文情势，在非汛期</w:t>
            </w:r>
            <w:r>
              <w:rPr>
                <w:rFonts w:hint="eastAsia"/>
                <w:color w:val="auto"/>
                <w:highlight w:val="none"/>
                <w:lang w:val="en-US" w:eastAsia="zh-CN"/>
              </w:rPr>
              <w:t>大带河</w:t>
            </w:r>
            <w:r>
              <w:rPr>
                <w:rFonts w:hint="eastAsia"/>
                <w:color w:val="auto"/>
                <w:highlight w:val="none"/>
              </w:rPr>
              <w:t>堤防距离河道有一定距离，河水均在主河道内形成径流，因此堤防的建设不会影响水文情势</w:t>
            </w:r>
            <w:r>
              <w:rPr>
                <w:rFonts w:hint="eastAsia"/>
                <w:color w:val="auto"/>
                <w:highlight w:val="none"/>
                <w:lang w:eastAsia="zh-CN"/>
              </w:rPr>
              <w:t>。</w:t>
            </w:r>
          </w:p>
          <w:p w14:paraId="7A000A18">
            <w:pPr>
              <w:pStyle w:val="56"/>
              <w:ind w:firstLine="420"/>
              <w:rPr>
                <w:rFonts w:hint="eastAsia"/>
                <w:color w:val="auto"/>
                <w:highlight w:val="none"/>
              </w:rPr>
            </w:pPr>
            <w:r>
              <w:rPr>
                <w:rFonts w:hint="eastAsia"/>
                <w:color w:val="auto"/>
                <w:highlight w:val="none"/>
              </w:rPr>
              <w:t>根据水利项目施工经验，同类项目一般都选择干地施工方式，汛期河水上涨期间一般会停止施工，同时也是为了保护水生生态，避免扰动水体，减缓对鱼类的不利影响。对水体做成干扰的多是由于施工活动扰动地表，发生水体流失现象时，松散的土料容易随雨水或大风天气下进入河流，可能会导致附近水体悬浮物增加，透明度减小，进而影响近岸鱼类觅食。总之，一般不会涉水施工，除非是为了应急度汛，非常条件下为抢进度才可能会发生涉水情形。</w:t>
            </w:r>
          </w:p>
          <w:p w14:paraId="4A392211">
            <w:pPr>
              <w:pStyle w:val="56"/>
              <w:ind w:firstLine="420"/>
              <w:rPr>
                <w:color w:val="auto"/>
                <w:highlight w:val="none"/>
              </w:rPr>
            </w:pPr>
            <w:r>
              <w:rPr>
                <w:rFonts w:hint="eastAsia"/>
                <w:color w:val="auto"/>
                <w:highlight w:val="none"/>
              </w:rPr>
              <w:t>本工程的护岸工程等均可在非汛期或者一个枯水期内施工完成。根据</w:t>
            </w:r>
            <w:r>
              <w:rPr>
                <w:rFonts w:hint="eastAsia"/>
                <w:color w:val="auto"/>
                <w:highlight w:val="none"/>
                <w:lang w:val="en-US" w:eastAsia="zh-CN"/>
              </w:rPr>
              <w:t>施工组织设计，本</w:t>
            </w:r>
            <w:r>
              <w:rPr>
                <w:rFonts w:hint="eastAsia"/>
                <w:color w:val="auto"/>
                <w:highlight w:val="none"/>
              </w:rPr>
              <w:t>工程施工时水位均低于工程设计建基面或者护脚高程，工程的施工过程不涉水，也无施工导流或者修筑围堰工程，因此，本项目施工对</w:t>
            </w:r>
            <w:r>
              <w:rPr>
                <w:rFonts w:hint="eastAsia"/>
                <w:color w:val="auto"/>
                <w:highlight w:val="none"/>
                <w:lang w:eastAsia="zh-CN"/>
              </w:rPr>
              <w:t>大带河</w:t>
            </w:r>
            <w:r>
              <w:rPr>
                <w:rFonts w:hint="eastAsia"/>
                <w:color w:val="auto"/>
                <w:highlight w:val="none"/>
              </w:rPr>
              <w:t>鱼类的影响甚微。</w:t>
            </w:r>
          </w:p>
          <w:p w14:paraId="2D1DAD7B">
            <w:pPr>
              <w:pStyle w:val="56"/>
              <w:ind w:firstLine="420"/>
              <w:rPr>
                <w:color w:val="auto"/>
                <w:highlight w:val="none"/>
              </w:rPr>
            </w:pPr>
            <w:r>
              <w:rPr>
                <w:rFonts w:hint="eastAsia"/>
                <w:color w:val="auto"/>
                <w:highlight w:val="none"/>
              </w:rPr>
              <w:t>（</w:t>
            </w:r>
            <w:r>
              <w:rPr>
                <w:rFonts w:hint="eastAsia"/>
                <w:color w:val="auto"/>
                <w:highlight w:val="none"/>
                <w:lang w:val="en-US" w:eastAsia="zh-CN"/>
              </w:rPr>
              <w:t>3</w:t>
            </w:r>
            <w:r>
              <w:rPr>
                <w:rFonts w:hint="eastAsia"/>
                <w:color w:val="auto"/>
                <w:highlight w:val="none"/>
              </w:rPr>
              <w:t>）水土流失影响影响分析</w:t>
            </w:r>
          </w:p>
          <w:p w14:paraId="36AF572A">
            <w:pPr>
              <w:pStyle w:val="56"/>
              <w:ind w:firstLine="420"/>
              <w:rPr>
                <w:color w:val="auto"/>
                <w:highlight w:val="none"/>
              </w:rPr>
            </w:pPr>
            <w:r>
              <w:rPr>
                <w:rFonts w:hint="eastAsia"/>
                <w:color w:val="auto"/>
                <w:highlight w:val="none"/>
              </w:rPr>
              <w:t>本项目为水利建设类工程，呈线型分布，工程建设将改变占地区的地貌形态、占用、损坏地表植被，损失一定的植被生物量，影响施工区周围环境的植被覆盖率和数量分布。同时，土壤结构也受到一定的破坏，降低原地表水土保持功能，加剧项目区水土流失的发生，具体表现在以下几方面：</w:t>
            </w:r>
          </w:p>
          <w:p w14:paraId="7FAFC543">
            <w:pPr>
              <w:pStyle w:val="56"/>
              <w:ind w:firstLine="420"/>
              <w:rPr>
                <w:color w:val="auto"/>
                <w:highlight w:val="none"/>
              </w:rPr>
            </w:pPr>
            <w:r>
              <w:rPr>
                <w:rFonts w:hint="eastAsia"/>
                <w:color w:val="auto"/>
                <w:highlight w:val="none"/>
              </w:rPr>
              <w:t>①施工占用扰动一定数量土地，使项目区植被覆盖度降低，破坏自然植被保土、保水的生态功能，同时也降低土壤抗蚀能力。</w:t>
            </w:r>
          </w:p>
          <w:p w14:paraId="3DB7436D">
            <w:pPr>
              <w:pStyle w:val="56"/>
              <w:ind w:firstLine="420"/>
              <w:rPr>
                <w:color w:val="auto"/>
                <w:highlight w:val="none"/>
              </w:rPr>
            </w:pPr>
            <w:r>
              <w:rPr>
                <w:rFonts w:hint="eastAsia"/>
                <w:color w:val="auto"/>
                <w:highlight w:val="none"/>
              </w:rPr>
              <w:t>②护岸工程沿线布置距离河道较近，施工期间建设活动对占地区扰动剧烈，易产生水土流失，径流冲刷后流入河道，将增加河道泥沙含量。</w:t>
            </w:r>
          </w:p>
          <w:p w14:paraId="061DDE9B">
            <w:pPr>
              <w:pStyle w:val="56"/>
              <w:ind w:firstLine="420"/>
              <w:rPr>
                <w:color w:val="auto"/>
                <w:highlight w:val="none"/>
              </w:rPr>
            </w:pPr>
            <w:r>
              <w:rPr>
                <w:rFonts w:hint="eastAsia"/>
                <w:color w:val="auto"/>
                <w:highlight w:val="none"/>
              </w:rPr>
              <w:t>本工程实施后，工程建设的草皮护坡将增大流域的绿化面积，改善项目区的生态环境。</w:t>
            </w:r>
          </w:p>
          <w:p w14:paraId="282517C8">
            <w:pPr>
              <w:pStyle w:val="56"/>
              <w:ind w:firstLine="420"/>
              <w:rPr>
                <w:rFonts w:hint="eastAsia" w:eastAsia="宋体"/>
                <w:color w:val="auto"/>
                <w:highlight w:val="none"/>
                <w:lang w:eastAsia="zh-CN"/>
              </w:rPr>
            </w:pPr>
            <w:r>
              <w:rPr>
                <w:rFonts w:hint="eastAsia"/>
                <w:color w:val="auto"/>
                <w:highlight w:val="none"/>
              </w:rPr>
              <w:t>严格按照设计时序施工，避免在风雨天气施工，增强施工人员的水土保持意识，建立健全施工监理体系；在施工道路两侧布置排水沟，拦截径流，避免对路面的冲刷</w:t>
            </w:r>
            <w:r>
              <w:rPr>
                <w:rFonts w:hint="eastAsia"/>
                <w:color w:val="auto"/>
                <w:highlight w:val="none"/>
                <w:lang w:eastAsia="zh-CN"/>
              </w:rPr>
              <w:t>。</w:t>
            </w:r>
          </w:p>
          <w:p w14:paraId="482AA075">
            <w:pPr>
              <w:pStyle w:val="56"/>
              <w:ind w:firstLine="420"/>
              <w:rPr>
                <w:color w:val="auto"/>
                <w:highlight w:val="none"/>
              </w:rPr>
            </w:pPr>
            <w:r>
              <w:rPr>
                <w:rFonts w:hint="eastAsia"/>
                <w:color w:val="auto"/>
                <w:highlight w:val="none"/>
              </w:rPr>
              <w:t>工程建成运行初期植物处于成活生长期，防风固土能力较差，故存在一定强度的水土流失，土壤侵蚀类型为水蚀，待植物措施逐渐发挥水土保持作用后，工程建设产生的水土流失方得到消除。</w:t>
            </w:r>
          </w:p>
          <w:p w14:paraId="0559D29F">
            <w:pPr>
              <w:pStyle w:val="56"/>
              <w:ind w:firstLine="420"/>
              <w:rPr>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）生物多样性影响分析</w:t>
            </w:r>
          </w:p>
          <w:p w14:paraId="44911CF1">
            <w:pPr>
              <w:pStyle w:val="56"/>
              <w:ind w:firstLine="420"/>
              <w:rPr>
                <w:color w:val="auto"/>
                <w:highlight w:val="none"/>
              </w:rPr>
            </w:pPr>
            <w:r>
              <w:rPr>
                <w:rFonts w:hint="eastAsia"/>
                <w:color w:val="auto"/>
                <w:highlight w:val="none"/>
              </w:rPr>
              <w:t>生态系统的稳定性包括两种特征，即阻抗和恢复，这是从生态系统对干扰因子反应的意义上定义的。阻抗是生态系统在环境变化或潜在干扰时反抗或阻止变化的能力，它是偏离值的倒数，大的偏离意味着阻抗低。而恢复(或回弹)是生态系统被改变后返回原来状态的能力。因此，对生态系统稳定状况的度量要从恢复的稳定性和阻抗的稳定性两个方面来度量和评价。</w:t>
            </w:r>
          </w:p>
          <w:p w14:paraId="0E102E55">
            <w:pPr>
              <w:pStyle w:val="56"/>
              <w:ind w:firstLine="420"/>
              <w:rPr>
                <w:color w:val="auto"/>
                <w:highlight w:val="none"/>
              </w:rPr>
            </w:pPr>
            <w:r>
              <w:rPr>
                <w:rFonts w:hint="eastAsia"/>
                <w:color w:val="auto"/>
                <w:highlight w:val="none"/>
              </w:rPr>
              <w:t>①恢复稳定性：</w:t>
            </w:r>
          </w:p>
          <w:p w14:paraId="1DCE321F">
            <w:pPr>
              <w:pStyle w:val="56"/>
              <w:ind w:firstLine="420"/>
              <w:rPr>
                <w:color w:val="auto"/>
                <w:highlight w:val="none"/>
              </w:rPr>
            </w:pPr>
            <w:r>
              <w:rPr>
                <w:rFonts w:hint="eastAsia"/>
                <w:color w:val="auto"/>
                <w:highlight w:val="none"/>
              </w:rPr>
              <w:t>生态系统的恢复稳定性，可以根据植被生态系统在大系统中的地位来度量的。如果其地位高，则其恢复稳定性强，反之则弱。工程建成后，各个植被群落类型的面积也发生了相应的变化，通过建设</w:t>
            </w:r>
            <w:r>
              <w:rPr>
                <w:rFonts w:hint="eastAsia"/>
                <w:color w:val="auto"/>
                <w:highlight w:val="none"/>
                <w:lang w:eastAsia="zh-CN"/>
              </w:rPr>
              <w:t>堤防护坡</w:t>
            </w:r>
            <w:r>
              <w:rPr>
                <w:rFonts w:hint="eastAsia"/>
                <w:color w:val="auto"/>
                <w:highlight w:val="none"/>
              </w:rPr>
              <w:t>，对该区域植被类型将产生一定的正面影响，种植草种及植被均为当地物种，区域植物区系组成没有发生根本变化。</w:t>
            </w:r>
          </w:p>
          <w:p w14:paraId="0A658E6E">
            <w:pPr>
              <w:pStyle w:val="56"/>
              <w:ind w:firstLine="420"/>
              <w:rPr>
                <w:color w:val="auto"/>
                <w:highlight w:val="none"/>
              </w:rPr>
            </w:pPr>
            <w:r>
              <w:rPr>
                <w:rFonts w:hint="eastAsia"/>
                <w:color w:val="auto"/>
                <w:highlight w:val="none"/>
              </w:rPr>
              <w:t>②阻抗稳定性：</w:t>
            </w:r>
          </w:p>
          <w:p w14:paraId="7515CA27">
            <w:pPr>
              <w:pStyle w:val="56"/>
              <w:ind w:firstLine="420"/>
              <w:rPr>
                <w:color w:val="auto"/>
                <w:highlight w:val="none"/>
              </w:rPr>
            </w:pPr>
            <w:r>
              <w:rPr>
                <w:rFonts w:hint="eastAsia"/>
                <w:color w:val="auto"/>
                <w:highlight w:val="none"/>
              </w:rPr>
              <w:t>生态系统的阻抗稳定性是由系统中生物组分异质性的高低决定的。异质性是指一个区域里(景观或生态系统)对一个种或更高级的生物组织的存在起决定作用的资源(或某种性质)在空间或时间上的变异程度(或强度)。由于异质性的组分具有不同的生态位，给动物物种和植物物种的生长、栖息、移动以及抵御内外干扰提供了复杂和微妙的相应的利用关系。另一方面，异质化程度高的生态系统，当某一斑块形成干扰源时，相邻的异质性组分就成为了干扰的阻断，从而达到增强生态体系抗御内外来干扰的作用，有利于生态体系生态稳定性的提高。</w:t>
            </w:r>
          </w:p>
          <w:p w14:paraId="278B5E95">
            <w:pPr>
              <w:pStyle w:val="56"/>
              <w:ind w:firstLine="420"/>
              <w:rPr>
                <w:color w:val="auto"/>
                <w:highlight w:val="none"/>
              </w:rPr>
            </w:pPr>
            <w:r>
              <w:rPr>
                <w:rFonts w:hint="eastAsia"/>
                <w:color w:val="auto"/>
                <w:highlight w:val="none"/>
              </w:rPr>
              <w:t>生物多样性是生态自然发展的结果，生物多样性的保护是生态环境保护的基本要求和目的。项目施工会对原始植被造成损害，进而影响动物觅食、栖息，导致区域动、植物资源减少，使区域生物多样性遭受到威胁，此外，项目施工过程中运输、机械的运行噪声等将影响项目所在区域动物的栖息，甚至导致动物迁移，影响施工区域的生物多样性。</w:t>
            </w:r>
          </w:p>
          <w:p w14:paraId="5F4F2461">
            <w:pPr>
              <w:pStyle w:val="56"/>
              <w:ind w:firstLine="420"/>
              <w:rPr>
                <w:color w:val="auto"/>
                <w:highlight w:val="none"/>
              </w:rPr>
            </w:pPr>
            <w:r>
              <w:rPr>
                <w:rFonts w:hint="eastAsia"/>
                <w:color w:val="auto"/>
                <w:highlight w:val="none"/>
              </w:rPr>
              <w:t>但本项目针对</w:t>
            </w:r>
            <w:r>
              <w:rPr>
                <w:rFonts w:hint="eastAsia"/>
                <w:color w:val="auto"/>
                <w:highlight w:val="none"/>
                <w:lang w:eastAsia="zh-CN"/>
              </w:rPr>
              <w:t>堤防护坡</w:t>
            </w:r>
            <w:r>
              <w:rPr>
                <w:rFonts w:hint="eastAsia"/>
                <w:color w:val="auto"/>
                <w:highlight w:val="none"/>
              </w:rPr>
              <w:t>开展工程，通过有计划地种植植物，利用其根系锚固加筋的力学效应和茎叶截留降雨、削弱溅蚀、抑制地表径流的水文效应，消浪促淤、减少水土流失、固滩护岸的堤岸防护技术。植物护岸对基土的抗冲刷保护能力较弱，适宜用于河道较缓、流速较小的岸坡。护岸植物设计的总原则是建立符合当地的立地条件、形成适宜立地要求和协调周围环境的植被群落，根据生态学原理，充分考虑河道特点和植物的生物生态学特性。本工程采用生态友好的护岸修复方法，其工程目标是保护河岸生态环境，恢复岸边生态平衡；减缓岸边侵蚀，保护岸边建筑物和道路安全；提升城市河岸的地貌景观，提高区域自然环境品质，工程实施后，可增强河岸的稳定性，保护耕地和</w:t>
            </w:r>
            <w:r>
              <w:rPr>
                <w:rFonts w:hint="eastAsia"/>
                <w:color w:val="auto"/>
                <w:highlight w:val="none"/>
                <w:lang w:eastAsia="zh-CN"/>
              </w:rPr>
              <w:t>大带河</w:t>
            </w:r>
            <w:r>
              <w:rPr>
                <w:rFonts w:hint="eastAsia"/>
                <w:color w:val="auto"/>
                <w:highlight w:val="none"/>
              </w:rPr>
              <w:t>水质，减少水土流失。</w:t>
            </w:r>
          </w:p>
          <w:p w14:paraId="34D605B7">
            <w:pPr>
              <w:pStyle w:val="56"/>
              <w:ind w:firstLine="420"/>
              <w:rPr>
                <w:rFonts w:hint="eastAsia"/>
                <w:color w:val="auto"/>
                <w:highlight w:val="none"/>
              </w:rPr>
            </w:pPr>
            <w:r>
              <w:rPr>
                <w:rFonts w:hint="eastAsia"/>
                <w:color w:val="auto"/>
                <w:highlight w:val="none"/>
              </w:rPr>
              <w:t>因此工程施工期对评价区陆生生态系统异质化程度和阻抗能力都会产生一定的影响，但影响不大。</w:t>
            </w:r>
          </w:p>
          <w:p w14:paraId="083BA33A">
            <w:pPr>
              <w:spacing w:line="360" w:lineRule="auto"/>
              <w:ind w:firstLine="420" w:firstLineChars="200"/>
              <w:rPr>
                <w:rFonts w:hint="eastAsia"/>
                <w:color w:val="auto"/>
                <w:highlight w:val="none"/>
              </w:rPr>
            </w:pPr>
            <w:r>
              <w:rPr>
                <w:rFonts w:hint="eastAsia"/>
                <w:color w:val="auto"/>
                <w:highlight w:val="none"/>
              </w:rPr>
              <w:t>（</w:t>
            </w:r>
            <w:r>
              <w:rPr>
                <w:rFonts w:hint="eastAsia"/>
                <w:color w:val="auto"/>
                <w:highlight w:val="none"/>
                <w:lang w:val="en-US" w:eastAsia="zh-CN"/>
              </w:rPr>
              <w:t>5</w:t>
            </w:r>
            <w:r>
              <w:rPr>
                <w:rFonts w:hint="eastAsia"/>
                <w:color w:val="auto"/>
                <w:highlight w:val="none"/>
              </w:rPr>
              <w:t>）对黑龙江饶河东北黑蜂国家级自然保护区的影响</w:t>
            </w:r>
          </w:p>
          <w:p w14:paraId="5ECD70EE">
            <w:pPr>
              <w:spacing w:line="360" w:lineRule="auto"/>
              <w:ind w:firstLine="420" w:firstLineChars="200"/>
              <w:rPr>
                <w:color w:val="auto"/>
                <w:highlight w:val="none"/>
              </w:rPr>
            </w:pPr>
            <w:r>
              <w:rPr>
                <w:rFonts w:hint="eastAsia"/>
                <w:color w:val="auto"/>
                <w:highlight w:val="none"/>
              </w:rPr>
              <w:t>本项目在黑龙江饶河东北黑蜂国家级自然保护区实验区内，</w:t>
            </w:r>
            <w:r>
              <w:rPr>
                <w:rFonts w:hint="eastAsia"/>
                <w:color w:val="auto"/>
                <w:spacing w:val="4"/>
                <w:szCs w:val="24"/>
                <w:highlight w:val="none"/>
              </w:rPr>
              <w:t>本</w:t>
            </w:r>
            <w:r>
              <w:rPr>
                <w:rFonts w:hint="eastAsia"/>
                <w:color w:val="auto"/>
                <w:spacing w:val="4"/>
                <w:szCs w:val="24"/>
                <w:highlight w:val="none"/>
                <w:lang w:val="en-US" w:eastAsia="zh-CN"/>
              </w:rPr>
              <w:t>项目</w:t>
            </w:r>
            <w:r>
              <w:rPr>
                <w:rFonts w:hint="eastAsia"/>
                <w:color w:val="auto"/>
                <w:spacing w:val="4"/>
                <w:szCs w:val="24"/>
                <w:highlight w:val="none"/>
              </w:rPr>
              <w:t>距离东北黑蜂国家级自然保护区缓冲区最近距离</w:t>
            </w:r>
            <w:r>
              <w:rPr>
                <w:rFonts w:hint="eastAsia"/>
                <w:color w:val="auto"/>
                <w:spacing w:val="4"/>
                <w:szCs w:val="24"/>
                <w:highlight w:val="none"/>
                <w:lang w:val="en-US" w:eastAsia="zh-CN"/>
              </w:rPr>
              <w:t>6350</w:t>
            </w:r>
            <w:r>
              <w:rPr>
                <w:rFonts w:hint="eastAsia"/>
                <w:color w:val="auto"/>
                <w:spacing w:val="4"/>
                <w:szCs w:val="24"/>
                <w:highlight w:val="none"/>
              </w:rPr>
              <w:t>m，距离东北黑蜂国家级自然保护区核心区最近距离</w:t>
            </w:r>
            <w:r>
              <w:rPr>
                <w:rFonts w:hint="eastAsia"/>
                <w:color w:val="auto"/>
                <w:spacing w:val="4"/>
                <w:szCs w:val="24"/>
                <w:highlight w:val="none"/>
                <w:lang w:val="en-US" w:eastAsia="zh-CN"/>
              </w:rPr>
              <w:t>6990</w:t>
            </w:r>
            <w:r>
              <w:rPr>
                <w:rFonts w:hint="eastAsia"/>
                <w:color w:val="auto"/>
                <w:spacing w:val="4"/>
                <w:szCs w:val="24"/>
                <w:highlight w:val="none"/>
              </w:rPr>
              <w:t>m。</w:t>
            </w:r>
            <w:r>
              <w:rPr>
                <w:rFonts w:hint="eastAsia"/>
                <w:color w:val="auto"/>
                <w:highlight w:val="none"/>
              </w:rPr>
              <w:t>实验区内蜜粉源植物分布较少在此活动的东北黑蜂数量较少，而且本项目</w:t>
            </w:r>
            <w:r>
              <w:rPr>
                <w:rFonts w:hint="eastAsia"/>
                <w:color w:val="auto"/>
                <w:highlight w:val="none"/>
                <w:lang w:val="en-US" w:eastAsia="zh-CN"/>
              </w:rPr>
              <w:t>距离G331国道较近</w:t>
            </w:r>
            <w:r>
              <w:rPr>
                <w:rFonts w:hint="eastAsia"/>
                <w:color w:val="auto"/>
                <w:highlight w:val="none"/>
              </w:rPr>
              <w:t>，区域内分布的野生动物种类及数量较少，分布动物已经适应公路周围的人为活动状况。在本项目施工时，人为活动的增加及施工噪声的干扰会使原来在此采蜜的东北黑蜂及分布的野生动物远离施工区域，但随着施工结束，周围生态环境现状的恢复，东北黑蜂及野生动物会逐渐适应工程周围的生态现状，补充空缺的生态位，很快恢复为原有状态，本项目施工期对保护区内在此分布的东北黑蜂及其他动物资源基本不会产生影响。</w:t>
            </w:r>
          </w:p>
          <w:p w14:paraId="3A767710">
            <w:pPr>
              <w:spacing w:line="360" w:lineRule="auto"/>
              <w:ind w:firstLine="420" w:firstLineChars="200"/>
              <w:rPr>
                <w:rFonts w:hint="eastAsia" w:eastAsia="宋体"/>
                <w:color w:val="auto"/>
                <w:sz w:val="21"/>
                <w:szCs w:val="21"/>
                <w:highlight w:val="none"/>
                <w:lang w:eastAsia="zh-CN"/>
              </w:rPr>
            </w:pPr>
            <w:r>
              <w:rPr>
                <w:rFonts w:hint="eastAsia"/>
                <w:color w:val="auto"/>
                <w:sz w:val="21"/>
                <w:szCs w:val="21"/>
                <w:highlight w:val="none"/>
                <w:lang w:eastAsia="zh-CN"/>
              </w:rPr>
              <w:t>（</w:t>
            </w:r>
            <w:r>
              <w:rPr>
                <w:rFonts w:hint="eastAsia"/>
                <w:color w:val="auto"/>
                <w:sz w:val="21"/>
                <w:szCs w:val="21"/>
                <w:highlight w:val="none"/>
                <w:lang w:val="en-US" w:eastAsia="zh-CN"/>
              </w:rPr>
              <w:t>6</w:t>
            </w:r>
            <w:r>
              <w:rPr>
                <w:rFonts w:hint="eastAsia"/>
                <w:color w:val="auto"/>
                <w:sz w:val="21"/>
                <w:szCs w:val="21"/>
                <w:highlight w:val="none"/>
                <w:lang w:eastAsia="zh-CN"/>
              </w:rPr>
              <w:t>）对生态保护红线的影响</w:t>
            </w:r>
          </w:p>
          <w:p w14:paraId="395DA62B">
            <w:pPr>
              <w:spacing w:line="360" w:lineRule="auto"/>
              <w:ind w:firstLine="420" w:firstLineChars="200"/>
              <w:rPr>
                <w:rFonts w:hint="eastAsia" w:ascii="Times New Roman" w:hAnsi="Times New Roman" w:eastAsia="宋体" w:cs="Times New Roman"/>
                <w:color w:val="FF0000"/>
                <w:kern w:val="2"/>
                <w:sz w:val="21"/>
                <w:szCs w:val="24"/>
                <w:highlight w:val="none"/>
                <w:lang w:val="en-US" w:eastAsia="zh-CN" w:bidi="ar-SA"/>
              </w:rPr>
            </w:pPr>
            <w:r>
              <w:rPr>
                <w:rFonts w:hint="eastAsia"/>
                <w:color w:val="auto"/>
                <w:highlight w:val="none"/>
                <w:lang w:val="en-US" w:eastAsia="zh-CN"/>
              </w:rPr>
              <w:t>本工程位于饶河县三江平原生物多样性维护功能生态保护红线-水源涵养生态功能重要区</w:t>
            </w:r>
            <w:r>
              <w:rPr>
                <w:rFonts w:hint="eastAsia" w:ascii="Times New Roman" w:hAnsi="Times New Roman" w:eastAsia="宋体" w:cs="Times New Roman"/>
                <w:color w:val="auto"/>
                <w:sz w:val="21"/>
                <w:szCs w:val="21"/>
                <w:highlight w:val="none"/>
                <w:lang w:val="en-US" w:eastAsia="zh-CN"/>
              </w:rPr>
              <w:t>。对生态保护红线内的物种、生物群落、生物资源无影响。</w:t>
            </w:r>
            <w:r>
              <w:rPr>
                <w:rFonts w:hint="eastAsia"/>
                <w:color w:val="auto"/>
                <w:sz w:val="21"/>
                <w:szCs w:val="21"/>
                <w:highlight w:val="none"/>
                <w:lang w:val="en-US" w:eastAsia="zh-CN"/>
              </w:rPr>
              <w:t>本项目评价区域内</w:t>
            </w:r>
            <w:r>
              <w:rPr>
                <w:rFonts w:hint="eastAsia"/>
                <w:color w:val="auto"/>
                <w:sz w:val="21"/>
                <w:szCs w:val="21"/>
                <w:highlight w:val="none"/>
              </w:rPr>
              <w:t>原有</w:t>
            </w:r>
            <w:r>
              <w:rPr>
                <w:rFonts w:hint="eastAsia"/>
                <w:color w:val="auto"/>
                <w:sz w:val="21"/>
                <w:szCs w:val="21"/>
                <w:highlight w:val="none"/>
                <w:lang w:val="en-US" w:eastAsia="zh-CN"/>
              </w:rPr>
              <w:t>环境</w:t>
            </w:r>
            <w:r>
              <w:rPr>
                <w:rFonts w:hint="eastAsia"/>
                <w:color w:val="auto"/>
                <w:sz w:val="21"/>
                <w:szCs w:val="21"/>
                <w:highlight w:val="none"/>
              </w:rPr>
              <w:t>存在一定的人为活动，分布的野生动物种类及数量较少，且分布动物已经适应</w:t>
            </w:r>
            <w:r>
              <w:rPr>
                <w:rFonts w:hint="eastAsia"/>
                <w:color w:val="auto"/>
                <w:sz w:val="21"/>
                <w:szCs w:val="21"/>
                <w:highlight w:val="none"/>
                <w:lang w:val="en-US" w:eastAsia="zh-CN"/>
              </w:rPr>
              <w:t>项目</w:t>
            </w:r>
            <w:r>
              <w:rPr>
                <w:rFonts w:hint="eastAsia"/>
                <w:color w:val="auto"/>
                <w:sz w:val="21"/>
                <w:szCs w:val="21"/>
                <w:highlight w:val="none"/>
              </w:rPr>
              <w:t>周围的人为活动状况，在施工期时人为活动的增加及施工噪声的干扰会使周围原有分布的野生动物远离施工区域，但随着施工结束，周围生态环境现状的恢复，野生动物会逐渐适应工程周围的生态现状，补充空缺的生态位，周围的动物分布会逐步恢复为原有状态，对动物资源基本不会产生影响。</w:t>
            </w:r>
          </w:p>
          <w:p w14:paraId="769246D4">
            <w:pPr>
              <w:adjustRightInd w:val="0"/>
              <w:snapToGrid w:val="0"/>
              <w:spacing w:line="360" w:lineRule="auto"/>
              <w:ind w:firstLine="420" w:firstLineChars="20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（7）对黑龙江乌苏里江国家湿地公园的影响</w:t>
            </w:r>
          </w:p>
          <w:p w14:paraId="05C0BC8D">
            <w:pPr>
              <w:adjustRightInd w:val="0"/>
              <w:snapToGrid w:val="0"/>
              <w:spacing w:line="360" w:lineRule="auto"/>
              <w:ind w:firstLine="420" w:firstLineChars="200"/>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本项目位于</w:t>
            </w:r>
            <w:r>
              <w:rPr>
                <w:rFonts w:hint="default" w:ascii="Times New Roman" w:hAnsi="Times New Roman" w:eastAsia="宋体" w:cs="Times New Roman"/>
                <w:color w:val="auto"/>
                <w:kern w:val="2"/>
                <w:sz w:val="21"/>
                <w:szCs w:val="24"/>
                <w:highlight w:val="none"/>
                <w:lang w:val="en-US" w:eastAsia="zh-CN" w:bidi="ar-SA"/>
              </w:rPr>
              <w:t>黑龙江乌苏里江国家湿地公园生态保育区内</w:t>
            </w:r>
            <w:r>
              <w:rPr>
                <w:rFonts w:hint="eastAsia" w:cs="Times New Roman"/>
                <w:color w:val="auto"/>
                <w:kern w:val="2"/>
                <w:sz w:val="21"/>
                <w:szCs w:val="24"/>
                <w:highlight w:val="none"/>
                <w:lang w:val="en-US" w:eastAsia="zh-CN" w:bidi="ar-SA"/>
              </w:rPr>
              <w:t>，</w:t>
            </w:r>
            <w:r>
              <w:rPr>
                <w:rFonts w:hint="eastAsia" w:ascii="Times New Roman" w:hAnsi="Times New Roman" w:eastAsia="宋体" w:cs="Times New Roman"/>
                <w:color w:val="auto"/>
                <w:kern w:val="2"/>
                <w:sz w:val="21"/>
                <w:szCs w:val="24"/>
                <w:highlight w:val="none"/>
                <w:lang w:val="en-US" w:eastAsia="zh-CN" w:bidi="ar-SA"/>
              </w:rPr>
              <w:t>经调查，工程施工区域人类活动频繁，施工区域内动物以家燕、鼠类等伴人型野生动物为主，重要野生动物主要分布在远离施工区域的沼泽及水域内，施工噪声对湿地公园内野生动物影响轻微。施工结束后，不利影响即刻消除。新建堤防均是在原有堤防的基础上进行的修建，工程建设后，公园内湿地生态系统依然全部分布在堤防迎水侧，其水源补给条件仍为河流及大气降水补给，工程的建设不会阻断湿地公园内湿地生态系统的水源补给条件，不会造成湿地生态系统的退化。因此，工程施工对国家湿地公园陆生植被及其生物量、对陆生动物及其生境影响轻微，在可接受范围内</w:t>
            </w:r>
            <w:r>
              <w:rPr>
                <w:rFonts w:hint="eastAsia" w:cs="Times New Roman"/>
                <w:color w:val="auto"/>
                <w:kern w:val="2"/>
                <w:sz w:val="21"/>
                <w:szCs w:val="24"/>
                <w:highlight w:val="none"/>
                <w:lang w:val="en-US" w:eastAsia="zh-CN" w:bidi="ar-SA"/>
              </w:rPr>
              <w:t>，</w:t>
            </w:r>
            <w:r>
              <w:rPr>
                <w:rFonts w:hint="eastAsia" w:ascii="Times New Roman" w:hAnsi="Times New Roman" w:eastAsia="宋体" w:cs="Times New Roman"/>
                <w:color w:val="auto"/>
                <w:kern w:val="2"/>
                <w:sz w:val="21"/>
                <w:szCs w:val="24"/>
                <w:highlight w:val="none"/>
                <w:lang w:val="en-US" w:eastAsia="zh-CN" w:bidi="ar-SA"/>
              </w:rPr>
              <w:t>表明项目工程对</w:t>
            </w:r>
            <w:r>
              <w:rPr>
                <w:rFonts w:hint="default" w:ascii="Times New Roman" w:hAnsi="Times New Roman" w:eastAsia="宋体" w:cs="Times New Roman"/>
                <w:color w:val="auto"/>
                <w:kern w:val="2"/>
                <w:sz w:val="21"/>
                <w:szCs w:val="24"/>
                <w:highlight w:val="none"/>
                <w:lang w:val="en-US" w:eastAsia="zh-CN" w:bidi="ar-SA"/>
              </w:rPr>
              <w:t>黑龙江乌苏里江国家湿地公园</w:t>
            </w:r>
            <w:r>
              <w:rPr>
                <w:rFonts w:hint="eastAsia" w:ascii="Times New Roman" w:hAnsi="Times New Roman" w:eastAsia="宋体" w:cs="Times New Roman"/>
                <w:color w:val="auto"/>
                <w:kern w:val="2"/>
                <w:sz w:val="21"/>
                <w:szCs w:val="24"/>
                <w:highlight w:val="none"/>
                <w:lang w:val="en-US" w:eastAsia="zh-CN" w:bidi="ar-SA"/>
              </w:rPr>
              <w:t>生物多样性的影响较小。</w:t>
            </w:r>
          </w:p>
          <w:p w14:paraId="1083546D">
            <w:pPr>
              <w:adjustRightInd w:val="0"/>
              <w:snapToGrid w:val="0"/>
              <w:spacing w:line="360" w:lineRule="auto"/>
              <w:ind w:firstLine="420" w:firstLineChars="20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6、风险影响评价</w:t>
            </w:r>
          </w:p>
          <w:p w14:paraId="7E208450">
            <w:pPr>
              <w:adjustRightInd w:val="0"/>
              <w:snapToGrid w:val="0"/>
              <w:spacing w:line="360" w:lineRule="auto"/>
              <w:ind w:firstLine="420" w:firstLineChars="200"/>
              <w:rPr>
                <w:rFonts w:hint="default" w:eastAsia="宋体"/>
                <w:color w:val="auto"/>
                <w:highlight w:val="none"/>
                <w:lang w:val="en-US" w:eastAsia="zh-CN"/>
              </w:rPr>
            </w:pPr>
            <w:r>
              <w:rPr>
                <w:rFonts w:hint="eastAsia" w:ascii="Times New Roman" w:hAnsi="Times New Roman" w:eastAsia="宋体" w:cs="Times New Roman"/>
                <w:color w:val="auto"/>
                <w:kern w:val="2"/>
                <w:sz w:val="21"/>
                <w:szCs w:val="24"/>
                <w:highlight w:val="none"/>
                <w:lang w:val="en-US" w:eastAsia="zh-CN" w:bidi="ar-SA"/>
              </w:rPr>
              <w:t>工程在施工期间的汽、柴油全部外购，购买燃油较为方便，施工机械级发动机需要的燃油根据需要购买，随用随买，不设置燃料油储存设施，因此，本工程无风险源。</w:t>
            </w:r>
          </w:p>
        </w:tc>
      </w:tr>
      <w:tr w14:paraId="01754E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2" w:type="pct"/>
            <w:vAlign w:val="center"/>
          </w:tcPr>
          <w:p w14:paraId="2969B287">
            <w:pPr>
              <w:pStyle w:val="56"/>
              <w:spacing w:line="240" w:lineRule="auto"/>
              <w:ind w:firstLine="0" w:firstLineChars="0"/>
              <w:jc w:val="center"/>
              <w:rPr>
                <w:rFonts w:ascii="宋体" w:hAnsi="宋体" w:cs="宋体"/>
                <w:color w:val="auto"/>
                <w:kern w:val="0"/>
                <w:sz w:val="24"/>
                <w:highlight w:val="none"/>
              </w:rPr>
            </w:pPr>
            <w:r>
              <w:rPr>
                <w:rFonts w:hint="eastAsia" w:ascii="宋体" w:hAnsi="宋体" w:cs="宋体"/>
                <w:color w:val="auto"/>
                <w:kern w:val="0"/>
                <w:szCs w:val="21"/>
                <w:highlight w:val="none"/>
              </w:rPr>
              <w:t>运营期生态环境影响</w:t>
            </w:r>
            <w:r>
              <w:rPr>
                <w:rFonts w:hint="eastAsia" w:cs="宋体"/>
                <w:color w:val="auto"/>
                <w:szCs w:val="21"/>
                <w:highlight w:val="none"/>
              </w:rPr>
              <w:t>分析</w:t>
            </w:r>
          </w:p>
        </w:tc>
        <w:tc>
          <w:tcPr>
            <w:tcW w:w="4578" w:type="pct"/>
          </w:tcPr>
          <w:p w14:paraId="236F8F58">
            <w:pPr>
              <w:pStyle w:val="56"/>
              <w:ind w:firstLine="420"/>
              <w:rPr>
                <w:color w:val="auto"/>
                <w:highlight w:val="none"/>
              </w:rPr>
            </w:pPr>
            <w:r>
              <w:rPr>
                <w:rFonts w:hint="eastAsia"/>
                <w:color w:val="auto"/>
                <w:highlight w:val="none"/>
              </w:rPr>
              <w:t>本项目针对</w:t>
            </w:r>
            <w:r>
              <w:rPr>
                <w:rFonts w:hint="eastAsia"/>
                <w:color w:val="auto"/>
                <w:highlight w:val="none"/>
                <w:lang w:eastAsia="zh-CN"/>
              </w:rPr>
              <w:t>堤防护坡</w:t>
            </w:r>
            <w:r>
              <w:rPr>
                <w:rFonts w:hint="eastAsia"/>
                <w:color w:val="auto"/>
                <w:highlight w:val="none"/>
              </w:rPr>
              <w:t>开展工程，通过有计划地种植植物，利用其根系锚固加筋的力学效应和茎叶截留降雨、削弱溅蚀、抑制地表径流的水文效应，消浪促淤、减少水土流失、固滩护岸的堤岸防护技术。植物护岸对基土的抗冲刷保护能力较弱，适宜用于河道较缓、流速较小的岸坡。</w:t>
            </w:r>
          </w:p>
          <w:p w14:paraId="27D76EEF">
            <w:pPr>
              <w:pStyle w:val="56"/>
              <w:ind w:firstLine="420"/>
              <w:rPr>
                <w:color w:val="auto"/>
                <w:highlight w:val="none"/>
              </w:rPr>
            </w:pPr>
            <w:r>
              <w:rPr>
                <w:rFonts w:hint="eastAsia"/>
                <w:color w:val="auto"/>
                <w:highlight w:val="none"/>
              </w:rPr>
              <w:t>本工程采用生态友好的护岸修复方法，其工程目标是保护河岸生态环境，恢复岸边生态平衡；减缓岸边侵蚀，保护岸边建筑物和道路安全。护岸工程完成后，由于岸边基质改变，使水质变清，有些喜清水的浮游生物可能增加，对水中鱼类的繁殖和捕食更有利，种群数逐渐恢复。</w:t>
            </w:r>
          </w:p>
          <w:p w14:paraId="5750AA32">
            <w:pPr>
              <w:pStyle w:val="56"/>
              <w:ind w:firstLine="420"/>
              <w:rPr>
                <w:color w:val="auto"/>
                <w:highlight w:val="none"/>
              </w:rPr>
            </w:pPr>
            <w:r>
              <w:rPr>
                <w:rFonts w:hint="eastAsia"/>
                <w:color w:val="auto"/>
                <w:highlight w:val="none"/>
              </w:rPr>
              <w:t>护岸工程实施后，提升城市河岸的地貌景观，提高区域自然环境品质，工程实施后，可增强河岸的稳定性，保护耕地和</w:t>
            </w:r>
            <w:r>
              <w:rPr>
                <w:rFonts w:hint="eastAsia"/>
                <w:color w:val="auto"/>
                <w:highlight w:val="none"/>
                <w:lang w:eastAsia="zh-CN"/>
              </w:rPr>
              <w:t>大带河</w:t>
            </w:r>
            <w:r>
              <w:rPr>
                <w:rFonts w:hint="eastAsia"/>
                <w:color w:val="auto"/>
                <w:highlight w:val="none"/>
              </w:rPr>
              <w:t>水质，减少水土流失，避免因洪水灾害而污染水质的情况发生，对保护丰水期水环境起到一定积极作用。</w:t>
            </w:r>
          </w:p>
          <w:p w14:paraId="511EC745">
            <w:pPr>
              <w:pStyle w:val="56"/>
              <w:ind w:firstLine="420"/>
              <w:rPr>
                <w:color w:val="auto"/>
                <w:highlight w:val="none"/>
              </w:rPr>
            </w:pPr>
            <w:r>
              <w:rPr>
                <w:rFonts w:hint="eastAsia"/>
                <w:color w:val="auto"/>
                <w:highlight w:val="none"/>
              </w:rPr>
              <w:t>1、环境污染影响</w:t>
            </w:r>
          </w:p>
          <w:p w14:paraId="24CF6FEB">
            <w:pPr>
              <w:pStyle w:val="56"/>
              <w:ind w:firstLine="420"/>
              <w:rPr>
                <w:color w:val="auto"/>
                <w:highlight w:val="none"/>
              </w:rPr>
            </w:pPr>
            <w:r>
              <w:rPr>
                <w:rFonts w:hint="eastAsia"/>
                <w:color w:val="auto"/>
                <w:highlight w:val="none"/>
              </w:rPr>
              <w:t>运营期不排放污染物，因此，对水环境、大气环境、声环境等无影响。</w:t>
            </w:r>
          </w:p>
          <w:p w14:paraId="450559A5">
            <w:pPr>
              <w:pStyle w:val="56"/>
              <w:ind w:firstLine="420"/>
              <w:rPr>
                <w:color w:val="auto"/>
                <w:highlight w:val="none"/>
              </w:rPr>
            </w:pPr>
            <w:r>
              <w:rPr>
                <w:rFonts w:hint="eastAsia"/>
                <w:color w:val="auto"/>
                <w:highlight w:val="none"/>
              </w:rPr>
              <w:t>2、水文情势影响</w:t>
            </w:r>
          </w:p>
          <w:p w14:paraId="16ABD1AE">
            <w:pPr>
              <w:pStyle w:val="56"/>
              <w:ind w:firstLine="420"/>
              <w:rPr>
                <w:rFonts w:hint="eastAsia" w:eastAsia="宋体"/>
                <w:color w:val="auto"/>
                <w:highlight w:val="none"/>
                <w:lang w:eastAsia="zh-CN"/>
              </w:rPr>
            </w:pPr>
            <w:r>
              <w:rPr>
                <w:rFonts w:hint="eastAsia"/>
                <w:color w:val="auto"/>
                <w:highlight w:val="none"/>
              </w:rPr>
              <w:t>护岸工程遵循“按故道治河”的治理原则，尽量保持原河岸面貌，以河岸整坡为主，保持河道弯曲、平顺、生态的自然形态，所以工程实施对水文情势影响较小。因此本项目建成后，对项目区水环境主要为正面影响，基本无不良影响。</w:t>
            </w:r>
          </w:p>
          <w:p w14:paraId="5897C8E4">
            <w:pPr>
              <w:pStyle w:val="56"/>
              <w:ind w:firstLine="420"/>
              <w:rPr>
                <w:color w:val="auto"/>
                <w:highlight w:val="none"/>
              </w:rPr>
            </w:pPr>
            <w:r>
              <w:rPr>
                <w:rFonts w:hint="eastAsia"/>
                <w:color w:val="auto"/>
                <w:highlight w:val="none"/>
                <w:lang w:val="en-US" w:eastAsia="zh-CN"/>
              </w:rPr>
              <w:t>3</w:t>
            </w:r>
            <w:r>
              <w:rPr>
                <w:rFonts w:hint="eastAsia"/>
                <w:color w:val="auto"/>
                <w:highlight w:val="none"/>
              </w:rPr>
              <w:t>、生态环境</w:t>
            </w:r>
          </w:p>
          <w:p w14:paraId="5202B402">
            <w:pPr>
              <w:pStyle w:val="56"/>
              <w:ind w:firstLine="420"/>
              <w:rPr>
                <w:color w:val="auto"/>
                <w:highlight w:val="none"/>
              </w:rPr>
            </w:pPr>
            <w:r>
              <w:rPr>
                <w:rFonts w:hint="eastAsia"/>
                <w:color w:val="auto"/>
                <w:highlight w:val="none"/>
              </w:rPr>
              <w:t>本项目根据水资源和水生态条件以及维护河流健康和改善人居环境的要求，通过建设</w:t>
            </w:r>
            <w:r>
              <w:rPr>
                <w:rFonts w:hint="eastAsia"/>
                <w:color w:val="auto"/>
                <w:highlight w:val="none"/>
                <w:lang w:eastAsia="zh-CN"/>
              </w:rPr>
              <w:t>堤防护坡</w:t>
            </w:r>
            <w:r>
              <w:rPr>
                <w:rFonts w:hint="eastAsia"/>
                <w:color w:val="auto"/>
                <w:highlight w:val="none"/>
              </w:rPr>
              <w:t>，可对项目区生态环境改善有积极的正面作用。岸坡整治该工程根据河道现状，建立</w:t>
            </w:r>
            <w:r>
              <w:rPr>
                <w:rFonts w:hint="eastAsia"/>
                <w:color w:val="auto"/>
                <w:highlight w:val="none"/>
                <w:lang w:eastAsia="zh-CN"/>
              </w:rPr>
              <w:t>堤防护坡</w:t>
            </w:r>
            <w:r>
              <w:rPr>
                <w:rFonts w:hint="eastAsia"/>
                <w:color w:val="auto"/>
                <w:highlight w:val="none"/>
              </w:rPr>
              <w:t>，保持河道自然形态，建立良好的生态平衡系统，有利于维持和提升项目区生态系统稳定性。因此本项目建成后，对项目区生态环境主要为正面影响，基本无不良影响。</w:t>
            </w:r>
          </w:p>
          <w:p w14:paraId="0787D7FA">
            <w:pPr>
              <w:pStyle w:val="56"/>
              <w:ind w:firstLine="420"/>
              <w:rPr>
                <w:color w:val="auto"/>
                <w:highlight w:val="none"/>
              </w:rPr>
            </w:pPr>
            <w:r>
              <w:rPr>
                <w:rFonts w:hint="eastAsia"/>
                <w:color w:val="auto"/>
                <w:highlight w:val="none"/>
              </w:rPr>
              <w:t>本项目的建设对工程岸坡进行生态防护，有利于稳定河道，通过建立良好的生态平衡系统，有利于维持和提升项目区生态系统稳定性，对项目区生态环境改善有积极的正面作用，因此项目对河流水体质量及生态环境有积极改善的作用。</w:t>
            </w:r>
          </w:p>
        </w:tc>
      </w:tr>
      <w:tr w14:paraId="59D40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2" w:type="pct"/>
            <w:vAlign w:val="center"/>
          </w:tcPr>
          <w:p w14:paraId="0C437706">
            <w:pPr>
              <w:pStyle w:val="56"/>
              <w:ind w:firstLine="0" w:firstLineChars="0"/>
              <w:jc w:val="center"/>
              <w:rPr>
                <w:rFonts w:ascii="宋体" w:hAnsi="宋体" w:cs="宋体"/>
                <w:color w:val="FF0000"/>
                <w:kern w:val="0"/>
                <w:sz w:val="24"/>
                <w:highlight w:val="none"/>
              </w:rPr>
            </w:pPr>
            <w:r>
              <w:rPr>
                <w:bCs/>
                <w:color w:val="auto"/>
                <w:szCs w:val="21"/>
                <w:highlight w:val="none"/>
              </w:rPr>
              <w:t>选址选线环境合理性分析</w:t>
            </w:r>
          </w:p>
        </w:tc>
        <w:tc>
          <w:tcPr>
            <w:tcW w:w="4578" w:type="pct"/>
          </w:tcPr>
          <w:p w14:paraId="1339E0A6">
            <w:pPr>
              <w:pStyle w:val="56"/>
              <w:ind w:firstLine="420"/>
              <w:rPr>
                <w:color w:val="auto"/>
                <w:highlight w:val="none"/>
              </w:rPr>
            </w:pPr>
            <w:r>
              <w:rPr>
                <w:rFonts w:hint="eastAsia"/>
                <w:color w:val="auto"/>
                <w:highlight w:val="none"/>
              </w:rPr>
              <w:t>一、工程选址合理性分析</w:t>
            </w:r>
          </w:p>
          <w:p w14:paraId="63602D81">
            <w:pPr>
              <w:pStyle w:val="56"/>
              <w:ind w:firstLine="420"/>
              <w:rPr>
                <w:rFonts w:hint="eastAsia" w:eastAsia="宋体"/>
                <w:color w:val="auto"/>
                <w:highlight w:val="none"/>
                <w:lang w:eastAsia="zh-CN"/>
              </w:rPr>
            </w:pPr>
            <w:r>
              <w:rPr>
                <w:rFonts w:hint="eastAsia"/>
                <w:color w:val="auto"/>
                <w:highlight w:val="none"/>
              </w:rPr>
              <w:t>本项目主要是针对已有堤防的加培，不仅属于防洪工程，还属于线性基础设施。现状堤防堤线布置基本合理，为了减少新增占地面积，也是为了减轻对环境的影响程度，工程没有新建堤防段，即堤防均是在原址上进行加培</w:t>
            </w:r>
            <w:r>
              <w:rPr>
                <w:rFonts w:hint="eastAsia"/>
                <w:color w:val="auto"/>
                <w:highlight w:val="none"/>
                <w:lang w:eastAsia="zh-CN"/>
              </w:rPr>
              <w:t>。</w:t>
            </w:r>
          </w:p>
          <w:p w14:paraId="55F156E5">
            <w:pPr>
              <w:pStyle w:val="56"/>
              <w:ind w:firstLine="420"/>
              <w:rPr>
                <w:rFonts w:hint="eastAsia"/>
                <w:color w:val="FF0000"/>
                <w:highlight w:val="none"/>
              </w:rPr>
            </w:pPr>
            <w:r>
              <w:rPr>
                <w:color w:val="auto"/>
                <w:highlight w:val="none"/>
              </w:rPr>
              <w:t>根据</w:t>
            </w:r>
            <w:r>
              <w:rPr>
                <w:rFonts w:ascii="Times New Roman" w:hAnsi="Times New Roman" w:cs="Times New Roman"/>
                <w:color w:val="auto"/>
                <w:highlight w:val="none"/>
              </w:rPr>
              <w:t>《自然资源部 生态环境部 国家林业和草原局关于加强生态保护红线管理的通知（试行）》（自然资发〔2022〕142号）</w:t>
            </w:r>
            <w:r>
              <w:rPr>
                <w:rFonts w:hint="eastAsia" w:cs="Times New Roman"/>
                <w:color w:val="auto"/>
                <w:highlight w:val="none"/>
                <w:lang w:eastAsia="zh-CN"/>
              </w:rPr>
              <w:t>，</w:t>
            </w:r>
            <w:r>
              <w:rPr>
                <w:rFonts w:ascii="Times New Roman" w:hAnsi="Times New Roman" w:cs="Times New Roman"/>
                <w:color w:val="auto"/>
                <w:highlight w:val="none"/>
              </w:rPr>
              <w:t>本工程占用生态保护红线</w:t>
            </w:r>
            <w:r>
              <w:rPr>
                <w:rFonts w:hint="eastAsia" w:ascii="Times New Roman" w:hAnsi="Times New Roman" w:cs="Times New Roman"/>
                <w:color w:val="auto"/>
                <w:highlight w:val="none"/>
                <w:lang w:val="en-US" w:eastAsia="zh-CN"/>
              </w:rPr>
              <w:t>不</w:t>
            </w:r>
            <w:r>
              <w:rPr>
                <w:rFonts w:ascii="Times New Roman" w:hAnsi="Times New Roman" w:cs="Times New Roman"/>
                <w:color w:val="auto"/>
                <w:highlight w:val="none"/>
              </w:rPr>
              <w:t>属于自然保护地核心保护区，属于必须且无法避让、符合县级以上国土空间规划的线性基础设施建设、防洪和供水设施建设。</w:t>
            </w:r>
            <w:r>
              <w:rPr>
                <w:rFonts w:hint="default" w:eastAsia="宋体"/>
                <w:color w:val="auto"/>
                <w:highlight w:val="none"/>
                <w:lang w:val="en-US" w:eastAsia="zh-CN"/>
              </w:rPr>
              <w:t>工程占用</w:t>
            </w:r>
            <w:r>
              <w:rPr>
                <w:rFonts w:hint="eastAsia"/>
                <w:color w:val="auto"/>
                <w:highlight w:val="none"/>
                <w:lang w:val="en-US" w:eastAsia="zh-CN"/>
              </w:rPr>
              <w:t>饶河县</w:t>
            </w:r>
            <w:r>
              <w:rPr>
                <w:rFonts w:hint="default" w:eastAsia="宋体"/>
                <w:color w:val="auto"/>
                <w:highlight w:val="none"/>
                <w:lang w:val="en-US" w:eastAsia="zh-CN"/>
              </w:rPr>
              <w:t>生态保护红线总面积比量极小且仅施工期对环境有影响，不会对生态保护红线的水源涵养功能产生影响。</w:t>
            </w:r>
          </w:p>
          <w:p w14:paraId="482E1394">
            <w:pPr>
              <w:pStyle w:val="56"/>
              <w:ind w:firstLine="420"/>
              <w:rPr>
                <w:rFonts w:hint="eastAsia"/>
                <w:color w:val="auto"/>
                <w:highlight w:val="none"/>
              </w:rPr>
            </w:pPr>
            <w:r>
              <w:rPr>
                <w:rFonts w:hint="eastAsia"/>
                <w:color w:val="auto"/>
                <w:highlight w:val="none"/>
                <w:lang w:val="en-US" w:eastAsia="zh-CN"/>
              </w:rPr>
              <w:t>本工程占用黑龙江乌苏里江国家湿地公园及黑龙江饶河东北黑蜂国家级自然保护区。</w:t>
            </w:r>
            <w:r>
              <w:rPr>
                <w:rFonts w:hint="eastAsia"/>
                <w:color w:val="auto"/>
                <w:highlight w:val="none"/>
                <w:lang w:val="en-US"/>
              </w:rPr>
              <w:t>本项目</w:t>
            </w:r>
            <w:r>
              <w:rPr>
                <w:rFonts w:hint="eastAsia"/>
                <w:color w:val="auto"/>
                <w:highlight w:val="none"/>
                <w:lang w:val="en-US" w:eastAsia="zh-CN"/>
              </w:rPr>
              <w:t>不属于黑龙江乌苏里江国家湿地公园及黑龙江饶河东北黑蜂国家级自然保护区</w:t>
            </w:r>
            <w:r>
              <w:rPr>
                <w:rFonts w:hint="eastAsia"/>
                <w:color w:val="auto"/>
                <w:highlight w:val="none"/>
              </w:rPr>
              <w:t>禁止开发建设活动、</w:t>
            </w:r>
            <w:r>
              <w:rPr>
                <w:rFonts w:hint="eastAsia"/>
                <w:color w:val="auto"/>
                <w:highlight w:val="none"/>
                <w:lang w:val="zh-CN"/>
              </w:rPr>
              <w:t>限制开发建设活动要求</w:t>
            </w:r>
            <w:r>
              <w:rPr>
                <w:rFonts w:hint="eastAsia"/>
                <w:color w:val="auto"/>
                <w:highlight w:val="none"/>
                <w:lang w:eastAsia="zh-CN"/>
              </w:rPr>
              <w:t>。</w:t>
            </w:r>
          </w:p>
          <w:p w14:paraId="2D623340">
            <w:pPr>
              <w:pStyle w:val="56"/>
              <w:ind w:firstLine="420"/>
              <w:rPr>
                <w:rFonts w:hint="eastAsia"/>
                <w:color w:val="auto"/>
                <w:highlight w:val="none"/>
              </w:rPr>
            </w:pPr>
            <w:r>
              <w:rPr>
                <w:rFonts w:hint="eastAsia"/>
                <w:color w:val="auto"/>
                <w:highlight w:val="none"/>
              </w:rPr>
              <w:t>本项目施工期尽可能减少对环境的扰动，在采取各项保护措施后，污染物排放能够达到相应的排放标准，且污染主要集中在施工期，施工期结束后污染随即消失，不会造成区域环境污染和生态破坏。</w:t>
            </w:r>
          </w:p>
          <w:p w14:paraId="2EAEE8F6">
            <w:pPr>
              <w:pStyle w:val="56"/>
              <w:ind w:firstLine="420"/>
              <w:rPr>
                <w:rFonts w:hint="eastAsia"/>
                <w:color w:val="auto"/>
                <w:highlight w:val="none"/>
              </w:rPr>
            </w:pPr>
            <w:r>
              <w:rPr>
                <w:rFonts w:hint="eastAsia"/>
                <w:color w:val="auto"/>
                <w:highlight w:val="none"/>
              </w:rPr>
              <w:t>本工程不进行裁弯取直，为满足河道行洪、河势稳定安全及河道管理运用的要求，本次设计主要是建设护岸工程，外环境没有对本项目影响较大的环境制约因素，所在区域的空气环境质量、水环境质量、声环境质量等现状良好。</w:t>
            </w:r>
          </w:p>
          <w:p w14:paraId="1A1DA245">
            <w:pPr>
              <w:pStyle w:val="56"/>
              <w:ind w:firstLine="420"/>
              <w:rPr>
                <w:color w:val="auto"/>
                <w:highlight w:val="none"/>
              </w:rPr>
            </w:pPr>
            <w:r>
              <w:rPr>
                <w:rFonts w:hint="eastAsia"/>
                <w:color w:val="auto"/>
                <w:highlight w:val="none"/>
              </w:rPr>
              <w:t>本项目位于</w:t>
            </w:r>
            <w:r>
              <w:rPr>
                <w:rFonts w:hint="eastAsia"/>
                <w:color w:val="auto"/>
                <w:highlight w:val="none"/>
                <w:lang w:eastAsia="zh-CN"/>
              </w:rPr>
              <w:t>黑龙江省双鸭山市饶河县大带河</w:t>
            </w:r>
            <w:r>
              <w:rPr>
                <w:rFonts w:hint="eastAsia"/>
                <w:color w:val="auto"/>
                <w:highlight w:val="none"/>
              </w:rPr>
              <w:t>，施工结束后对地表植被进行及时恢复，该影响随施工期结束而结束。采取相应防护措施后，本项目根据水资源和水生态条件以及维护河流健康和改善人居环境的要求，通过建设护岸工程，对项目区生态环境改善有积极的正面作用。建立良好的生态平衡系统，有利于维持和提升项目区生态系统稳定性。因此本项目建成后，对项目区生态环境主要为正面影响，基本无不良影响。</w:t>
            </w:r>
          </w:p>
          <w:p w14:paraId="20B77931">
            <w:pPr>
              <w:pStyle w:val="56"/>
              <w:ind w:firstLine="420"/>
              <w:rPr>
                <w:color w:val="auto"/>
                <w:highlight w:val="none"/>
              </w:rPr>
            </w:pPr>
            <w:r>
              <w:rPr>
                <w:rFonts w:hint="eastAsia"/>
                <w:color w:val="auto"/>
                <w:highlight w:val="none"/>
              </w:rPr>
              <w:t>主体工程采用集中布置、共用场地、重复利用场地等方式，在一定程度上节约了占地面积，减少了对地表植被的破坏，有利于水土流失防治；施工区根据工程建设需要，选择在相对平坦的地块，场地平整工程量小，工程实施时，严格控制施工占地，对于施工场地扰动地表和破坏植被面积以及所造成的水土流失，采取工程和植物相结合的水土保持措施予以治理。</w:t>
            </w:r>
          </w:p>
          <w:p w14:paraId="39B11735">
            <w:pPr>
              <w:pStyle w:val="56"/>
              <w:ind w:firstLine="420"/>
              <w:rPr>
                <w:rFonts w:hint="eastAsia"/>
                <w:color w:val="auto"/>
                <w:highlight w:val="none"/>
              </w:rPr>
            </w:pPr>
            <w:r>
              <w:rPr>
                <w:rFonts w:hint="eastAsia"/>
                <w:color w:val="auto"/>
                <w:highlight w:val="none"/>
              </w:rPr>
              <w:t>综上所述，本项目工程选址选线基本合理。</w:t>
            </w:r>
          </w:p>
          <w:p w14:paraId="2A539BFE">
            <w:pPr>
              <w:pStyle w:val="56"/>
              <w:ind w:firstLine="420"/>
              <w:rPr>
                <w:rFonts w:hint="eastAsia"/>
                <w:color w:val="auto"/>
                <w:highlight w:val="none"/>
              </w:rPr>
            </w:pPr>
          </w:p>
          <w:p w14:paraId="55024DEC">
            <w:pPr>
              <w:pStyle w:val="56"/>
              <w:ind w:firstLine="420"/>
              <w:rPr>
                <w:rFonts w:hint="eastAsia"/>
                <w:color w:val="auto"/>
                <w:highlight w:val="none"/>
              </w:rPr>
            </w:pPr>
          </w:p>
          <w:p w14:paraId="3B4B06C3">
            <w:pPr>
              <w:pStyle w:val="56"/>
              <w:ind w:firstLine="420"/>
              <w:rPr>
                <w:rFonts w:hint="eastAsia"/>
                <w:color w:val="auto"/>
                <w:highlight w:val="none"/>
              </w:rPr>
            </w:pPr>
          </w:p>
          <w:p w14:paraId="1403CABE">
            <w:pPr>
              <w:pStyle w:val="56"/>
              <w:ind w:firstLine="420"/>
              <w:rPr>
                <w:rFonts w:hint="eastAsia"/>
                <w:color w:val="auto"/>
                <w:highlight w:val="none"/>
              </w:rPr>
            </w:pPr>
          </w:p>
          <w:p w14:paraId="3D4F8766">
            <w:pPr>
              <w:pStyle w:val="56"/>
              <w:ind w:firstLine="420"/>
              <w:rPr>
                <w:rFonts w:hint="eastAsia"/>
                <w:color w:val="auto"/>
                <w:highlight w:val="none"/>
              </w:rPr>
            </w:pPr>
          </w:p>
          <w:p w14:paraId="307BD324">
            <w:pPr>
              <w:pStyle w:val="56"/>
              <w:ind w:firstLine="420"/>
              <w:rPr>
                <w:rFonts w:hint="eastAsia"/>
                <w:color w:val="auto"/>
                <w:highlight w:val="none"/>
              </w:rPr>
            </w:pPr>
          </w:p>
          <w:p w14:paraId="2916B24F">
            <w:pPr>
              <w:pStyle w:val="56"/>
              <w:ind w:firstLine="420"/>
              <w:rPr>
                <w:rFonts w:hint="eastAsia"/>
                <w:color w:val="auto"/>
                <w:highlight w:val="none"/>
              </w:rPr>
            </w:pPr>
          </w:p>
          <w:p w14:paraId="3333F817">
            <w:pPr>
              <w:pStyle w:val="56"/>
              <w:ind w:firstLine="420"/>
              <w:rPr>
                <w:rFonts w:hint="eastAsia"/>
                <w:color w:val="auto"/>
                <w:highlight w:val="none"/>
              </w:rPr>
            </w:pPr>
          </w:p>
          <w:p w14:paraId="7B7FCBAB">
            <w:pPr>
              <w:pStyle w:val="56"/>
              <w:ind w:firstLine="420"/>
              <w:rPr>
                <w:rFonts w:hint="eastAsia"/>
                <w:color w:val="auto"/>
                <w:highlight w:val="none"/>
              </w:rPr>
            </w:pPr>
          </w:p>
          <w:p w14:paraId="0263C90D">
            <w:pPr>
              <w:pStyle w:val="56"/>
              <w:ind w:firstLine="420"/>
              <w:rPr>
                <w:rFonts w:hint="eastAsia"/>
                <w:color w:val="auto"/>
                <w:highlight w:val="none"/>
              </w:rPr>
            </w:pPr>
          </w:p>
        </w:tc>
      </w:tr>
    </w:tbl>
    <w:p w14:paraId="06CA3C26">
      <w:pPr>
        <w:pStyle w:val="22"/>
        <w:jc w:val="center"/>
        <w:rPr>
          <w:rFonts w:ascii="Times New Roman" w:hAnsi="Times New Roman" w:eastAsia="黑体"/>
          <w:snapToGrid w:val="0"/>
          <w:color w:val="FF0000"/>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425" w:num="1"/>
          <w:docGrid w:linePitch="312" w:charSpace="0"/>
        </w:sectPr>
      </w:pPr>
    </w:p>
    <w:p w14:paraId="3E969309">
      <w:pPr>
        <w:pStyle w:val="22"/>
        <w:jc w:val="center"/>
        <w:outlineLvl w:val="0"/>
        <w:rPr>
          <w:rFonts w:ascii="Times New Roman" w:hAnsi="Times New Roman" w:eastAsia="黑体"/>
          <w:snapToGrid w:val="0"/>
          <w:color w:val="auto"/>
          <w:sz w:val="30"/>
          <w:szCs w:val="30"/>
          <w:highlight w:val="none"/>
        </w:rPr>
      </w:pPr>
      <w:bookmarkStart w:id="42" w:name="_Toc31726"/>
      <w:r>
        <w:rPr>
          <w:rFonts w:ascii="Times New Roman" w:hAnsi="Times New Roman" w:eastAsia="黑体"/>
          <w:snapToGrid w:val="0"/>
          <w:color w:val="auto"/>
          <w:sz w:val="30"/>
          <w:szCs w:val="30"/>
          <w:highlight w:val="none"/>
        </w:rPr>
        <w:t>五、主要生态环境保护措施</w:t>
      </w:r>
      <w:bookmarkEnd w:id="42"/>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7724"/>
      </w:tblGrid>
      <w:tr w14:paraId="0E434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57" w:hRule="atLeast"/>
          <w:jc w:val="center"/>
        </w:trPr>
        <w:tc>
          <w:tcPr>
            <w:tcW w:w="0" w:type="auto"/>
            <w:tcMar>
              <w:left w:w="28" w:type="dxa"/>
              <w:right w:w="28" w:type="dxa"/>
            </w:tcMar>
            <w:vAlign w:val="center"/>
          </w:tcPr>
          <w:p w14:paraId="31938894">
            <w:pPr>
              <w:adjustRightInd w:val="0"/>
              <w:snapToGrid w:val="0"/>
              <w:jc w:val="center"/>
              <w:rPr>
                <w:bCs/>
                <w:color w:val="FF0000"/>
                <w:szCs w:val="21"/>
                <w:highlight w:val="none"/>
              </w:rPr>
            </w:pPr>
            <w:r>
              <w:rPr>
                <w:bCs/>
                <w:color w:val="auto"/>
                <w:spacing w:val="10"/>
                <w:szCs w:val="21"/>
                <w:highlight w:val="none"/>
              </w:rPr>
              <w:t>施工期生态环境保护措施</w:t>
            </w:r>
          </w:p>
        </w:tc>
        <w:tc>
          <w:tcPr>
            <w:tcW w:w="0" w:type="auto"/>
          </w:tcPr>
          <w:p w14:paraId="76066E71">
            <w:pPr>
              <w:pStyle w:val="56"/>
              <w:ind w:firstLine="420"/>
              <w:rPr>
                <w:color w:val="auto"/>
                <w:highlight w:val="none"/>
              </w:rPr>
            </w:pPr>
            <w:r>
              <w:rPr>
                <w:color w:val="auto"/>
                <w:highlight w:val="none"/>
              </w:rPr>
              <w:t>1、大气污染防治措施</w:t>
            </w:r>
          </w:p>
          <w:p w14:paraId="6FC7CEB2">
            <w:pPr>
              <w:pStyle w:val="56"/>
              <w:ind w:firstLine="420"/>
              <w:rPr>
                <w:color w:val="auto"/>
                <w:highlight w:val="none"/>
              </w:rPr>
            </w:pPr>
            <w:r>
              <w:rPr>
                <w:color w:val="auto"/>
                <w:highlight w:val="none"/>
              </w:rPr>
              <w:t>施工期大气污染物主要为</w:t>
            </w:r>
            <w:r>
              <w:rPr>
                <w:rFonts w:hint="eastAsia"/>
                <w:color w:val="auto"/>
                <w:highlight w:val="none"/>
              </w:rPr>
              <w:t>施工填筑过程</w:t>
            </w:r>
            <w:r>
              <w:rPr>
                <w:color w:val="auto"/>
                <w:highlight w:val="none"/>
              </w:rPr>
              <w:t>扬尘、动力机械及运输车辆排出的尾气等。</w:t>
            </w:r>
          </w:p>
          <w:p w14:paraId="5F51875C">
            <w:pPr>
              <w:pStyle w:val="56"/>
              <w:ind w:firstLine="420"/>
              <w:rPr>
                <w:color w:val="auto"/>
                <w:highlight w:val="none"/>
              </w:rPr>
            </w:pPr>
            <w:r>
              <w:rPr>
                <w:rFonts w:hint="eastAsia"/>
                <w:color w:val="auto"/>
                <w:highlight w:val="none"/>
              </w:rPr>
              <w:t>（1）</w:t>
            </w:r>
            <w:r>
              <w:rPr>
                <w:color w:val="auto"/>
                <w:highlight w:val="none"/>
              </w:rPr>
              <w:t>为控制扬尘的污染，工程中将采取洒水抑尘措施，禁止大风天气施工，施工场地周边应设置围挡等措施。采取上述措施后，扬尘影响和污染程度会明显减轻。</w:t>
            </w:r>
          </w:p>
          <w:p w14:paraId="55C2C8A2">
            <w:pPr>
              <w:pStyle w:val="56"/>
              <w:ind w:firstLine="420"/>
              <w:rPr>
                <w:color w:val="auto"/>
                <w:highlight w:val="none"/>
              </w:rPr>
            </w:pPr>
            <w:r>
              <w:rPr>
                <w:color w:val="auto"/>
                <w:highlight w:val="none"/>
              </w:rPr>
              <w:t>在施工期间对</w:t>
            </w:r>
            <w:r>
              <w:rPr>
                <w:rFonts w:hint="eastAsia"/>
                <w:color w:val="auto"/>
                <w:highlight w:val="none"/>
              </w:rPr>
              <w:t>物料运输</w:t>
            </w:r>
            <w:r>
              <w:rPr>
                <w:color w:val="auto"/>
                <w:highlight w:val="none"/>
              </w:rPr>
              <w:t>车辆行驶的路面实施洒水抑尘，每天洒水4～5次，可使扬尘减少70%左右。表5-1为施工场地洒水抑尘的试验结果，结果表明实施每天洒水4～5次进行抑尘，可有效地控制施工扬尘，可将TSP污染距离缩小到20～50m范围。</w:t>
            </w:r>
          </w:p>
          <w:p w14:paraId="2C97E47E">
            <w:pPr>
              <w:pStyle w:val="55"/>
              <w:rPr>
                <w:color w:val="auto"/>
                <w:highlight w:val="none"/>
              </w:rPr>
            </w:pPr>
            <w:r>
              <w:rPr>
                <w:color w:val="auto"/>
                <w:highlight w:val="none"/>
              </w:rPr>
              <w:t>表5-1 施工场地洒水抑尘试验结果</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91"/>
              <w:gridCol w:w="1459"/>
              <w:gridCol w:w="1026"/>
              <w:gridCol w:w="872"/>
              <w:gridCol w:w="889"/>
              <w:gridCol w:w="871"/>
            </w:tblGrid>
            <w:tr w14:paraId="08BCE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35" w:type="dxa"/>
                  <w:gridSpan w:val="2"/>
                  <w:vAlign w:val="center"/>
                </w:tcPr>
                <w:p w14:paraId="5A256FFE">
                  <w:pPr>
                    <w:pStyle w:val="51"/>
                    <w:rPr>
                      <w:color w:val="auto"/>
                      <w:highlight w:val="none"/>
                    </w:rPr>
                  </w:pPr>
                  <w:r>
                    <w:rPr>
                      <w:color w:val="auto"/>
                      <w:highlight w:val="none"/>
                    </w:rPr>
                    <w:t>距离（m）</w:t>
                  </w:r>
                </w:p>
              </w:tc>
              <w:tc>
                <w:tcPr>
                  <w:tcW w:w="1125" w:type="dxa"/>
                  <w:vAlign w:val="center"/>
                </w:tcPr>
                <w:p w14:paraId="69464248">
                  <w:pPr>
                    <w:pStyle w:val="51"/>
                    <w:rPr>
                      <w:color w:val="auto"/>
                      <w:highlight w:val="none"/>
                    </w:rPr>
                  </w:pPr>
                  <w:r>
                    <w:rPr>
                      <w:color w:val="auto"/>
                      <w:highlight w:val="none"/>
                    </w:rPr>
                    <w:t>5</w:t>
                  </w:r>
                </w:p>
              </w:tc>
              <w:tc>
                <w:tcPr>
                  <w:tcW w:w="955" w:type="dxa"/>
                  <w:vAlign w:val="center"/>
                </w:tcPr>
                <w:p w14:paraId="4769AA49">
                  <w:pPr>
                    <w:pStyle w:val="51"/>
                    <w:rPr>
                      <w:color w:val="auto"/>
                      <w:highlight w:val="none"/>
                    </w:rPr>
                  </w:pPr>
                  <w:r>
                    <w:rPr>
                      <w:color w:val="auto"/>
                      <w:highlight w:val="none"/>
                    </w:rPr>
                    <w:t>20</w:t>
                  </w:r>
                </w:p>
              </w:tc>
              <w:tc>
                <w:tcPr>
                  <w:tcW w:w="955" w:type="dxa"/>
                  <w:vAlign w:val="center"/>
                </w:tcPr>
                <w:p w14:paraId="3BB67C1A">
                  <w:pPr>
                    <w:pStyle w:val="51"/>
                    <w:rPr>
                      <w:color w:val="auto"/>
                      <w:highlight w:val="none"/>
                    </w:rPr>
                  </w:pPr>
                  <w:r>
                    <w:rPr>
                      <w:color w:val="auto"/>
                      <w:highlight w:val="none"/>
                    </w:rPr>
                    <w:t>50</w:t>
                  </w:r>
                </w:p>
              </w:tc>
              <w:tc>
                <w:tcPr>
                  <w:tcW w:w="954" w:type="dxa"/>
                  <w:vAlign w:val="center"/>
                </w:tcPr>
                <w:p w14:paraId="62C3B328">
                  <w:pPr>
                    <w:pStyle w:val="51"/>
                    <w:rPr>
                      <w:color w:val="auto"/>
                      <w:highlight w:val="none"/>
                    </w:rPr>
                  </w:pPr>
                  <w:r>
                    <w:rPr>
                      <w:color w:val="auto"/>
                      <w:highlight w:val="none"/>
                    </w:rPr>
                    <w:t>100</w:t>
                  </w:r>
                </w:p>
              </w:tc>
            </w:tr>
            <w:tr w14:paraId="01D7B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7" w:type="dxa"/>
                  <w:vMerge w:val="restart"/>
                  <w:vAlign w:val="center"/>
                </w:tcPr>
                <w:p w14:paraId="5289DD65">
                  <w:pPr>
                    <w:pStyle w:val="51"/>
                    <w:rPr>
                      <w:color w:val="auto"/>
                      <w:highlight w:val="none"/>
                    </w:rPr>
                  </w:pPr>
                  <w:r>
                    <w:rPr>
                      <w:color w:val="auto"/>
                      <w:highlight w:val="none"/>
                    </w:rPr>
                    <w:t>TSP小时平均浓度</w:t>
                  </w:r>
                </w:p>
                <w:p w14:paraId="0DFF5ABD">
                  <w:pPr>
                    <w:pStyle w:val="51"/>
                    <w:rPr>
                      <w:color w:val="auto"/>
                      <w:highlight w:val="none"/>
                    </w:rPr>
                  </w:pPr>
                  <w:r>
                    <w:rPr>
                      <w:color w:val="auto"/>
                      <w:highlight w:val="none"/>
                    </w:rPr>
                    <w:t>（mg/m</w:t>
                  </w:r>
                  <w:r>
                    <w:rPr>
                      <w:color w:val="auto"/>
                      <w:highlight w:val="none"/>
                      <w:vertAlign w:val="superscript"/>
                    </w:rPr>
                    <w:t>3</w:t>
                  </w:r>
                  <w:r>
                    <w:rPr>
                      <w:color w:val="auto"/>
                      <w:highlight w:val="none"/>
                    </w:rPr>
                    <w:t>）</w:t>
                  </w:r>
                </w:p>
              </w:tc>
              <w:tc>
                <w:tcPr>
                  <w:tcW w:w="1718" w:type="dxa"/>
                  <w:vAlign w:val="center"/>
                </w:tcPr>
                <w:p w14:paraId="1848BF7B">
                  <w:pPr>
                    <w:pStyle w:val="51"/>
                    <w:rPr>
                      <w:color w:val="auto"/>
                      <w:highlight w:val="none"/>
                    </w:rPr>
                  </w:pPr>
                  <w:r>
                    <w:rPr>
                      <w:color w:val="auto"/>
                      <w:highlight w:val="none"/>
                    </w:rPr>
                    <w:t>不洒水</w:t>
                  </w:r>
                </w:p>
              </w:tc>
              <w:tc>
                <w:tcPr>
                  <w:tcW w:w="1125" w:type="dxa"/>
                  <w:vAlign w:val="center"/>
                </w:tcPr>
                <w:p w14:paraId="39E69BB7">
                  <w:pPr>
                    <w:pStyle w:val="51"/>
                    <w:rPr>
                      <w:color w:val="auto"/>
                      <w:highlight w:val="none"/>
                    </w:rPr>
                  </w:pPr>
                  <w:r>
                    <w:rPr>
                      <w:color w:val="auto"/>
                      <w:highlight w:val="none"/>
                    </w:rPr>
                    <w:t>10.14</w:t>
                  </w:r>
                </w:p>
              </w:tc>
              <w:tc>
                <w:tcPr>
                  <w:tcW w:w="955" w:type="dxa"/>
                  <w:vAlign w:val="center"/>
                </w:tcPr>
                <w:p w14:paraId="5EF080A3">
                  <w:pPr>
                    <w:pStyle w:val="51"/>
                    <w:rPr>
                      <w:color w:val="auto"/>
                      <w:highlight w:val="none"/>
                    </w:rPr>
                  </w:pPr>
                  <w:r>
                    <w:rPr>
                      <w:color w:val="auto"/>
                      <w:highlight w:val="none"/>
                    </w:rPr>
                    <w:t>2.89</w:t>
                  </w:r>
                </w:p>
              </w:tc>
              <w:tc>
                <w:tcPr>
                  <w:tcW w:w="955" w:type="dxa"/>
                  <w:vAlign w:val="center"/>
                </w:tcPr>
                <w:p w14:paraId="4B83E028">
                  <w:pPr>
                    <w:pStyle w:val="51"/>
                    <w:rPr>
                      <w:color w:val="auto"/>
                      <w:highlight w:val="none"/>
                    </w:rPr>
                  </w:pPr>
                  <w:r>
                    <w:rPr>
                      <w:color w:val="auto"/>
                      <w:highlight w:val="none"/>
                    </w:rPr>
                    <w:t>1.15</w:t>
                  </w:r>
                </w:p>
              </w:tc>
              <w:tc>
                <w:tcPr>
                  <w:tcW w:w="954" w:type="dxa"/>
                  <w:vAlign w:val="center"/>
                </w:tcPr>
                <w:p w14:paraId="1D3B2A70">
                  <w:pPr>
                    <w:pStyle w:val="51"/>
                    <w:rPr>
                      <w:color w:val="auto"/>
                      <w:highlight w:val="none"/>
                    </w:rPr>
                  </w:pPr>
                  <w:r>
                    <w:rPr>
                      <w:color w:val="auto"/>
                      <w:highlight w:val="none"/>
                    </w:rPr>
                    <w:t>0.86</w:t>
                  </w:r>
                </w:p>
              </w:tc>
            </w:tr>
            <w:tr w14:paraId="2143B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7" w:type="dxa"/>
                  <w:vMerge w:val="continue"/>
                  <w:vAlign w:val="center"/>
                </w:tcPr>
                <w:p w14:paraId="4CAA02CD">
                  <w:pPr>
                    <w:pStyle w:val="51"/>
                    <w:rPr>
                      <w:color w:val="auto"/>
                      <w:highlight w:val="none"/>
                    </w:rPr>
                  </w:pPr>
                </w:p>
              </w:tc>
              <w:tc>
                <w:tcPr>
                  <w:tcW w:w="1718" w:type="dxa"/>
                  <w:vAlign w:val="center"/>
                </w:tcPr>
                <w:p w14:paraId="313A47BF">
                  <w:pPr>
                    <w:pStyle w:val="51"/>
                    <w:rPr>
                      <w:color w:val="auto"/>
                      <w:highlight w:val="none"/>
                    </w:rPr>
                  </w:pPr>
                  <w:r>
                    <w:rPr>
                      <w:color w:val="auto"/>
                      <w:highlight w:val="none"/>
                    </w:rPr>
                    <w:t>洒水</w:t>
                  </w:r>
                </w:p>
              </w:tc>
              <w:tc>
                <w:tcPr>
                  <w:tcW w:w="1125" w:type="dxa"/>
                  <w:vAlign w:val="center"/>
                </w:tcPr>
                <w:p w14:paraId="23DF29A1">
                  <w:pPr>
                    <w:pStyle w:val="51"/>
                    <w:rPr>
                      <w:color w:val="auto"/>
                      <w:highlight w:val="none"/>
                    </w:rPr>
                  </w:pPr>
                  <w:r>
                    <w:rPr>
                      <w:color w:val="auto"/>
                      <w:highlight w:val="none"/>
                    </w:rPr>
                    <w:t>2.01</w:t>
                  </w:r>
                </w:p>
              </w:tc>
              <w:tc>
                <w:tcPr>
                  <w:tcW w:w="955" w:type="dxa"/>
                  <w:vAlign w:val="center"/>
                </w:tcPr>
                <w:p w14:paraId="434CC4A7">
                  <w:pPr>
                    <w:pStyle w:val="51"/>
                    <w:rPr>
                      <w:color w:val="auto"/>
                      <w:highlight w:val="none"/>
                    </w:rPr>
                  </w:pPr>
                  <w:r>
                    <w:rPr>
                      <w:color w:val="auto"/>
                      <w:highlight w:val="none"/>
                    </w:rPr>
                    <w:t>1.20</w:t>
                  </w:r>
                </w:p>
              </w:tc>
              <w:tc>
                <w:tcPr>
                  <w:tcW w:w="955" w:type="dxa"/>
                  <w:vAlign w:val="center"/>
                </w:tcPr>
                <w:p w14:paraId="7321193A">
                  <w:pPr>
                    <w:pStyle w:val="51"/>
                    <w:rPr>
                      <w:color w:val="auto"/>
                      <w:highlight w:val="none"/>
                    </w:rPr>
                  </w:pPr>
                  <w:r>
                    <w:rPr>
                      <w:color w:val="auto"/>
                      <w:highlight w:val="none"/>
                    </w:rPr>
                    <w:t>0.867</w:t>
                  </w:r>
                </w:p>
              </w:tc>
              <w:tc>
                <w:tcPr>
                  <w:tcW w:w="954" w:type="dxa"/>
                  <w:vAlign w:val="center"/>
                </w:tcPr>
                <w:p w14:paraId="57D1A8C0">
                  <w:pPr>
                    <w:pStyle w:val="51"/>
                    <w:rPr>
                      <w:color w:val="auto"/>
                      <w:highlight w:val="none"/>
                    </w:rPr>
                  </w:pPr>
                  <w:r>
                    <w:rPr>
                      <w:color w:val="auto"/>
                      <w:highlight w:val="none"/>
                    </w:rPr>
                    <w:t>0.60</w:t>
                  </w:r>
                </w:p>
              </w:tc>
            </w:tr>
          </w:tbl>
          <w:p w14:paraId="3CC8CEC9">
            <w:pPr>
              <w:pStyle w:val="56"/>
              <w:ind w:firstLine="420"/>
              <w:rPr>
                <w:color w:val="auto"/>
                <w:highlight w:val="none"/>
              </w:rPr>
            </w:pPr>
            <w:r>
              <w:rPr>
                <w:color w:val="auto"/>
                <w:highlight w:val="none"/>
              </w:rPr>
              <w:t>因此，限速行驶及保持路面清洁，同时适当洒水是减少汽车扬尘的有效手段。</w:t>
            </w:r>
            <w:r>
              <w:rPr>
                <w:rFonts w:hint="eastAsia"/>
                <w:color w:val="auto"/>
                <w:highlight w:val="none"/>
              </w:rPr>
              <w:t>同时确保物料运输远离敏感目标。</w:t>
            </w:r>
          </w:p>
          <w:p w14:paraId="7EB1C4F7">
            <w:pPr>
              <w:pStyle w:val="56"/>
              <w:ind w:firstLine="420"/>
              <w:rPr>
                <w:color w:val="auto"/>
                <w:highlight w:val="none"/>
              </w:rPr>
            </w:pPr>
            <w:r>
              <w:rPr>
                <w:rFonts w:hint="eastAsia"/>
                <w:color w:val="auto"/>
                <w:highlight w:val="none"/>
              </w:rPr>
              <w:t>（</w:t>
            </w:r>
            <w:r>
              <w:rPr>
                <w:color w:val="auto"/>
                <w:highlight w:val="none"/>
              </w:rPr>
              <w:t>2</w:t>
            </w:r>
            <w:r>
              <w:rPr>
                <w:rFonts w:hint="eastAsia"/>
                <w:color w:val="auto"/>
                <w:highlight w:val="none"/>
              </w:rPr>
              <w:t>）</w:t>
            </w:r>
            <w:r>
              <w:rPr>
                <w:color w:val="auto"/>
                <w:highlight w:val="none"/>
              </w:rPr>
              <w:t>对物料堆放场采取洒水保湿、苫布覆盖等措施</w:t>
            </w:r>
            <w:r>
              <w:rPr>
                <w:rFonts w:hint="eastAsia"/>
                <w:color w:val="auto"/>
                <w:highlight w:val="none"/>
              </w:rPr>
              <w:t>，</w:t>
            </w:r>
            <w:r>
              <w:rPr>
                <w:color w:val="auto"/>
                <w:highlight w:val="none"/>
              </w:rPr>
              <w:t>可有效减小堆场扬尘。</w:t>
            </w:r>
            <w:r>
              <w:rPr>
                <w:rFonts w:hint="eastAsia"/>
                <w:color w:val="auto"/>
                <w:highlight w:val="none"/>
              </w:rPr>
              <w:t>施工现场应做好防护工作，通过洒水、蓬布遮挡等措施，可有效地防止扬尘的产生，降低对周围环境空气的影响。按照国家有关劳动保护的规定，对产尘量较大的现场作业人员，发放防尘劳保用品如防尘口罩等。</w:t>
            </w:r>
            <w:r>
              <w:rPr>
                <w:color w:val="auto"/>
                <w:highlight w:val="none"/>
              </w:rPr>
              <w:t>本项目建设工期相对较短，废气产生量较少，对周围大气环境影响较小。</w:t>
            </w:r>
          </w:p>
          <w:p w14:paraId="04DE30AB">
            <w:pPr>
              <w:pStyle w:val="56"/>
              <w:ind w:firstLine="420"/>
              <w:rPr>
                <w:color w:val="auto"/>
                <w:highlight w:val="none"/>
              </w:rPr>
            </w:pPr>
            <w:r>
              <w:rPr>
                <w:rFonts w:hint="eastAsia"/>
                <w:color w:val="auto"/>
                <w:highlight w:val="none"/>
              </w:rPr>
              <w:t>（3）加强施工区内道路管理及路面养护，并且施工机械完好率要求在90%以上，定期检查、维修，确保施工机械和车辆各项环保指标符合尾气排放要求。运输车辆和施工机械选用优质、污染小的燃油。合理安排施工运输车辆行驶时间，缩短道路扬尘影响时段。施工期，对于发动机耗油多、效率低、排放尾气严重超标的老、旧车辆，要及时更新。</w:t>
            </w:r>
          </w:p>
          <w:p w14:paraId="669D01F4">
            <w:pPr>
              <w:pStyle w:val="56"/>
              <w:ind w:firstLine="4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lang w:val="en-US" w:eastAsia="zh-CN"/>
              </w:rPr>
              <w:t>避免在蜜源植物开花季节进行扬尘影响较大土建施工；保护区、</w:t>
            </w:r>
            <w:r>
              <w:rPr>
                <w:rFonts w:hint="eastAsia"/>
                <w:color w:val="auto"/>
                <w:highlight w:val="none"/>
                <w:lang w:eastAsia="zh-CN"/>
              </w:rPr>
              <w:t>国家湿地公园及生态保护红线的施工区域要定期洒水降尘，保证</w:t>
            </w:r>
            <w:r>
              <w:rPr>
                <w:rFonts w:hint="eastAsia"/>
                <w:color w:val="auto"/>
                <w:highlight w:val="none"/>
                <w:lang w:val="en-US" w:eastAsia="zh-CN"/>
              </w:rPr>
              <w:t>保护区、</w:t>
            </w:r>
            <w:r>
              <w:rPr>
                <w:rFonts w:hint="eastAsia"/>
                <w:color w:val="auto"/>
                <w:highlight w:val="none"/>
                <w:lang w:eastAsia="zh-CN"/>
              </w:rPr>
              <w:t>国家湿地公园及生态保护红线内空气质量；</w:t>
            </w:r>
            <w:r>
              <w:rPr>
                <w:rFonts w:cs="Times New Roman"/>
                <w:color w:val="auto"/>
                <w:highlight w:val="none"/>
              </w:rPr>
              <w:t>施工期堤防两侧应设置明确标志，提示车辆进入公园及生态保护红线，在通过国家湿地公园及生态保护红线的路段设立减速警示牌、减速带。</w:t>
            </w:r>
            <w:r>
              <w:rPr>
                <w:rFonts w:hint="eastAsia" w:cs="Times New Roman"/>
                <w:color w:val="auto"/>
                <w:highlight w:val="none"/>
              </w:rPr>
              <w:t>施工期间运送物料的车辆应采取防遗洒、防泄露等措施，严禁物料运输车辆超速行驶，减少危险事故的发生。</w:t>
            </w:r>
          </w:p>
          <w:p w14:paraId="5AFDCA30">
            <w:pPr>
              <w:pStyle w:val="56"/>
              <w:ind w:firstLine="420"/>
              <w:rPr>
                <w:color w:val="auto"/>
                <w:highlight w:val="none"/>
              </w:rPr>
            </w:pPr>
            <w:r>
              <w:rPr>
                <w:rFonts w:hint="eastAsia"/>
                <w:color w:val="auto"/>
                <w:highlight w:val="none"/>
              </w:rPr>
              <w:t>采取上述措施后，扬尘、汽车尾气和污染程度会明显减轻，故该措施技术可行、经济合理、降尘效果可达。</w:t>
            </w:r>
          </w:p>
          <w:p w14:paraId="55428ADF">
            <w:pPr>
              <w:pStyle w:val="56"/>
              <w:ind w:firstLine="420"/>
              <w:rPr>
                <w:color w:val="auto"/>
                <w:highlight w:val="none"/>
              </w:rPr>
            </w:pPr>
            <w:r>
              <w:rPr>
                <w:color w:val="auto"/>
                <w:highlight w:val="none"/>
              </w:rPr>
              <w:t>2、</w:t>
            </w:r>
            <w:r>
              <w:rPr>
                <w:bCs/>
                <w:color w:val="auto"/>
                <w:highlight w:val="none"/>
              </w:rPr>
              <w:t>水污染防治措施</w:t>
            </w:r>
          </w:p>
          <w:p w14:paraId="0900DBA0">
            <w:pPr>
              <w:pStyle w:val="56"/>
              <w:ind w:firstLine="420"/>
              <w:rPr>
                <w:color w:val="auto"/>
                <w:highlight w:val="none"/>
              </w:rPr>
            </w:pPr>
            <w:r>
              <w:rPr>
                <w:color w:val="auto"/>
                <w:highlight w:val="none"/>
              </w:rPr>
              <w:t>项目</w:t>
            </w:r>
            <w:r>
              <w:rPr>
                <w:rFonts w:hint="eastAsia"/>
                <w:color w:val="auto"/>
                <w:highlight w:val="none"/>
                <w:lang w:val="en-US" w:eastAsia="zh-CN"/>
              </w:rPr>
              <w:t>现场生产区</w:t>
            </w:r>
            <w:r>
              <w:rPr>
                <w:color w:val="auto"/>
                <w:highlight w:val="none"/>
              </w:rPr>
              <w:t>产生的生活污水集中排入自建的临时防渗旱厕，定期清掏，</w:t>
            </w:r>
            <w:r>
              <w:rPr>
                <w:rFonts w:hint="eastAsia"/>
                <w:color w:val="auto"/>
                <w:highlight w:val="none"/>
              </w:rPr>
              <w:t>外运堆肥。</w:t>
            </w:r>
            <w:r>
              <w:rPr>
                <w:color w:val="auto"/>
                <w:highlight w:val="none"/>
              </w:rPr>
              <w:t>严禁将生活污水随意泼洒。防渗旱厕施工结束后及时拆除并做好消毒工作，并填埋压实。</w:t>
            </w:r>
          </w:p>
          <w:p w14:paraId="4AD22349">
            <w:pPr>
              <w:pStyle w:val="56"/>
              <w:ind w:firstLine="420"/>
              <w:rPr>
                <w:color w:val="auto"/>
                <w:highlight w:val="none"/>
              </w:rPr>
            </w:pPr>
            <w:r>
              <w:rPr>
                <w:color w:val="auto"/>
                <w:highlight w:val="none"/>
              </w:rPr>
              <w:t>3、</w:t>
            </w:r>
            <w:r>
              <w:rPr>
                <w:bCs/>
                <w:color w:val="auto"/>
                <w:highlight w:val="none"/>
              </w:rPr>
              <w:t>噪声污染防治措施</w:t>
            </w:r>
          </w:p>
          <w:p w14:paraId="7AA07E82">
            <w:pPr>
              <w:pStyle w:val="56"/>
              <w:ind w:firstLine="420"/>
              <w:rPr>
                <w:color w:val="auto"/>
                <w:highlight w:val="none"/>
              </w:rPr>
            </w:pPr>
            <w:r>
              <w:rPr>
                <w:color w:val="auto"/>
                <w:highlight w:val="none"/>
              </w:rPr>
              <w:t>为了尽量减少因本项目施工而给周围环境带来不利影响，</w:t>
            </w:r>
            <w:r>
              <w:rPr>
                <w:rFonts w:hint="eastAsia"/>
                <w:color w:val="auto"/>
                <w:highlight w:val="none"/>
              </w:rPr>
              <w:t>本工程</w:t>
            </w:r>
            <w:r>
              <w:rPr>
                <w:color w:val="auto"/>
                <w:highlight w:val="none"/>
              </w:rPr>
              <w:t>采取以下控制措施：</w:t>
            </w:r>
          </w:p>
          <w:p w14:paraId="7A223D01">
            <w:pPr>
              <w:pStyle w:val="56"/>
              <w:ind w:firstLine="420"/>
              <w:rPr>
                <w:color w:val="auto"/>
                <w:highlight w:val="none"/>
              </w:rPr>
            </w:pPr>
            <w:r>
              <w:rPr>
                <w:color w:val="auto"/>
                <w:highlight w:val="none"/>
              </w:rPr>
              <w:t>（1）施工时应选用低噪声机械设备，淘汰高噪声设备和落后工艺，禁止采用冲击式钻机、柴油打桩机、旋挖桩机等高噪声设备，应选用静压式钻探机、预应力管桩等低噪声的施工方式。对挖掘机、推土机与翻斗车等固定设备，可通过安装消声管、消音器或隔离发动机振动部件的方法降低噪声，对振动大的机械设备，采用隔振胶垫或减振机座，使机械设备的噪声源声压级满足控制标准；同时要加强各种机械设备和运输车辆的维修和保养，使设备和车辆性能处于良好状态。</w:t>
            </w:r>
          </w:p>
          <w:p w14:paraId="0E8B5244">
            <w:pPr>
              <w:pStyle w:val="56"/>
              <w:ind w:firstLine="420"/>
              <w:rPr>
                <w:color w:val="auto"/>
                <w:highlight w:val="none"/>
              </w:rPr>
            </w:pPr>
            <w:r>
              <w:rPr>
                <w:color w:val="auto"/>
                <w:highlight w:val="none"/>
              </w:rPr>
              <w:t>（2）施工机械产生的噪声往往具有突发、无规则、不连续和高强度等特点，施工单位应采取合理安排施工机械操作时间的方法加以缓解，并减少同时作业的高噪声施工机械数量，尽可能减轻声源叠加影响。</w:t>
            </w:r>
            <w:r>
              <w:rPr>
                <w:rFonts w:hint="eastAsia"/>
                <w:color w:val="auto"/>
                <w:highlight w:val="none"/>
              </w:rPr>
              <w:t>运输车辆禁止鸣高音喇叭，尤其是经过沿线村屯时应限速行驶，并禁止鸣笛。</w:t>
            </w:r>
          </w:p>
          <w:p w14:paraId="11DFBAC5">
            <w:pPr>
              <w:pStyle w:val="56"/>
              <w:ind w:firstLine="420"/>
              <w:rPr>
                <w:color w:val="auto"/>
                <w:highlight w:val="none"/>
              </w:rPr>
            </w:pPr>
            <w:r>
              <w:rPr>
                <w:color w:val="auto"/>
                <w:highlight w:val="none"/>
              </w:rPr>
              <w:t>（3）施工单位要合理安排施工作业时间，晚间</w:t>
            </w:r>
            <w:r>
              <w:rPr>
                <w:rFonts w:hint="eastAsia"/>
                <w:color w:val="auto"/>
                <w:highlight w:val="none"/>
              </w:rPr>
              <w:t>避免</w:t>
            </w:r>
            <w:r>
              <w:rPr>
                <w:color w:val="auto"/>
                <w:highlight w:val="none"/>
              </w:rPr>
              <w:t>高噪声设备施工，以免影响附近人们的休息。另外，为进一步确保周围人员不受影响，施工单位应合理安排施工机械的作业位置，尽量远离敏感点。</w:t>
            </w:r>
          </w:p>
          <w:p w14:paraId="4F0CD6A8">
            <w:pPr>
              <w:pStyle w:val="56"/>
              <w:ind w:firstLine="420"/>
              <w:rPr>
                <w:color w:val="auto"/>
                <w:highlight w:val="none"/>
              </w:rPr>
            </w:pPr>
            <w:r>
              <w:rPr>
                <w:color w:val="auto"/>
                <w:highlight w:val="none"/>
              </w:rPr>
              <w:t>（4）</w:t>
            </w:r>
            <w:r>
              <w:rPr>
                <w:rFonts w:hint="eastAsia"/>
                <w:color w:val="auto"/>
                <w:szCs w:val="21"/>
                <w:highlight w:val="none"/>
              </w:rPr>
              <w:t>施工期间的材料运输采用汽车拉运，车辆量占道路总车流量比较小，避开高峰时期及中午等休息时间，在途径河流、居民等敏感点处减速慢行、禁止鸣笛；在运输过程中尽可能选择开阔平整的道路，对周围环境影响较小。</w:t>
            </w:r>
            <w:r>
              <w:rPr>
                <w:color w:val="auto"/>
                <w:highlight w:val="none"/>
              </w:rPr>
              <w:t>对于施工期间的材料运输、敲击等噪声源，要求施工单位文明施工；加强有效管理，加强施工队伍的素质教育，尽量减少人为的噪声以缓解其影响。加强劳动保护，改善施工人员作业环境。综合加工场操作人员实行轮班制，每人每天持续工作时间不得超过6小时，给受影响大的人员配发防噪耳塞、头盔、耳罩等噪声防护用具。</w:t>
            </w:r>
          </w:p>
          <w:p w14:paraId="3D535A3F">
            <w:pPr>
              <w:pStyle w:val="56"/>
              <w:ind w:firstLine="420"/>
              <w:rPr>
                <w:color w:val="auto"/>
                <w:highlight w:val="none"/>
              </w:rPr>
            </w:pPr>
            <w:r>
              <w:rPr>
                <w:rFonts w:hint="eastAsia"/>
                <w:color w:val="auto"/>
                <w:highlight w:val="none"/>
              </w:rPr>
              <w:t>采取上述措施后，施工期场界噪声满足《建筑施工场界环境噪声排放标准》(GB12523-2011)标准要求。施工噪声对周围声环境的影响较小，故该措施技术可行、经济合理、效果可达。</w:t>
            </w:r>
          </w:p>
          <w:p w14:paraId="41B9E5DF">
            <w:pPr>
              <w:pStyle w:val="56"/>
              <w:ind w:firstLine="420"/>
              <w:rPr>
                <w:color w:val="auto"/>
                <w:highlight w:val="none"/>
              </w:rPr>
            </w:pPr>
            <w:r>
              <w:rPr>
                <w:color w:val="auto"/>
                <w:highlight w:val="none"/>
              </w:rPr>
              <w:t>4、施工期固体废物</w:t>
            </w:r>
            <w:r>
              <w:rPr>
                <w:bCs/>
                <w:color w:val="auto"/>
                <w:highlight w:val="none"/>
              </w:rPr>
              <w:t>污染防治措施</w:t>
            </w:r>
          </w:p>
          <w:p w14:paraId="6622CC71">
            <w:pPr>
              <w:pStyle w:val="56"/>
              <w:ind w:firstLine="420"/>
              <w:rPr>
                <w:rFonts w:hint="eastAsia" w:eastAsia="宋体"/>
                <w:color w:val="auto"/>
                <w:highlight w:val="none"/>
                <w:lang w:eastAsia="zh-CN"/>
              </w:rPr>
            </w:pPr>
            <w:r>
              <w:rPr>
                <w:color w:val="auto"/>
                <w:highlight w:val="none"/>
              </w:rPr>
              <w:t>（1）开挖土方</w:t>
            </w:r>
            <w:r>
              <w:rPr>
                <w:rFonts w:hint="eastAsia"/>
                <w:color w:val="auto"/>
                <w:highlight w:val="none"/>
              </w:rPr>
              <w:t>全部</w:t>
            </w:r>
            <w:r>
              <w:rPr>
                <w:color w:val="auto"/>
                <w:highlight w:val="none"/>
              </w:rPr>
              <w:t>回填，</w:t>
            </w:r>
            <w:r>
              <w:rPr>
                <w:rFonts w:hint="eastAsia"/>
                <w:color w:val="auto"/>
                <w:highlight w:val="none"/>
              </w:rPr>
              <w:t>无</w:t>
            </w:r>
            <w:r>
              <w:rPr>
                <w:color w:val="auto"/>
                <w:highlight w:val="none"/>
              </w:rPr>
              <w:t>工程弃土</w:t>
            </w:r>
            <w:r>
              <w:rPr>
                <w:rFonts w:hint="eastAsia"/>
                <w:color w:val="auto"/>
                <w:highlight w:val="none"/>
              </w:rPr>
              <w:t>。</w:t>
            </w:r>
          </w:p>
          <w:p w14:paraId="0AB9CEBD">
            <w:pPr>
              <w:pStyle w:val="56"/>
              <w:ind w:firstLine="420"/>
              <w:rPr>
                <w:color w:val="auto"/>
                <w:highlight w:val="none"/>
              </w:rPr>
            </w:pPr>
            <w:r>
              <w:rPr>
                <w:color w:val="auto"/>
                <w:highlight w:val="none"/>
              </w:rPr>
              <w:t>（</w:t>
            </w:r>
            <w:r>
              <w:rPr>
                <w:rFonts w:hint="eastAsia"/>
                <w:color w:val="auto"/>
                <w:highlight w:val="none"/>
                <w:lang w:val="en-US" w:eastAsia="zh-CN"/>
              </w:rPr>
              <w:t>2</w:t>
            </w:r>
            <w:r>
              <w:rPr>
                <w:color w:val="auto"/>
                <w:highlight w:val="none"/>
              </w:rPr>
              <w:t>）员工生活垃圾</w:t>
            </w:r>
          </w:p>
          <w:p w14:paraId="153CE74E">
            <w:pPr>
              <w:pStyle w:val="56"/>
              <w:ind w:firstLine="420"/>
              <w:rPr>
                <w:color w:val="auto"/>
                <w:highlight w:val="none"/>
              </w:rPr>
            </w:pPr>
            <w:r>
              <w:rPr>
                <w:color w:val="auto"/>
                <w:highlight w:val="none"/>
              </w:rPr>
              <w:t>施工期对生活垃圾集中收集，对生活垃圾分类化管理，集中收集后交由环卫部门统一处理。</w:t>
            </w:r>
          </w:p>
          <w:p w14:paraId="69399C9A">
            <w:pPr>
              <w:pStyle w:val="56"/>
              <w:ind w:firstLine="420"/>
              <w:rPr>
                <w:color w:val="auto"/>
                <w:highlight w:val="none"/>
              </w:rPr>
            </w:pPr>
            <w:r>
              <w:rPr>
                <w:color w:val="auto"/>
                <w:highlight w:val="none"/>
              </w:rPr>
              <w:t>5、生态环境</w:t>
            </w:r>
            <w:r>
              <w:rPr>
                <w:bCs/>
                <w:color w:val="auto"/>
                <w:highlight w:val="none"/>
              </w:rPr>
              <w:t>污染防治措施</w:t>
            </w:r>
          </w:p>
          <w:p w14:paraId="4BAD47BA">
            <w:pPr>
              <w:pStyle w:val="56"/>
              <w:ind w:firstLine="4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）陆生植物保护措施</w:t>
            </w:r>
          </w:p>
          <w:p w14:paraId="216933F8">
            <w:pPr>
              <w:pStyle w:val="56"/>
              <w:ind w:firstLine="420"/>
              <w:rPr>
                <w:rFonts w:hint="eastAsia" w:eastAsia="宋体"/>
                <w:color w:val="auto"/>
                <w:highlight w:val="none"/>
                <w:lang w:val="en-US" w:eastAsia="zh-CN"/>
              </w:rPr>
            </w:pPr>
            <w:r>
              <w:rPr>
                <w:rFonts w:hint="eastAsia" w:eastAsia="宋体"/>
                <w:color w:val="auto"/>
                <w:highlight w:val="none"/>
                <w:lang w:val="en-US" w:eastAsia="zh-CN"/>
              </w:rPr>
              <w:t>1）严格按照设计文件确定施工范围，进行地表植被清理工作；禁止施工人员、车辆进入非施工占地区域。</w:t>
            </w:r>
          </w:p>
          <w:p w14:paraId="51AE876B">
            <w:pPr>
              <w:pStyle w:val="56"/>
              <w:ind w:firstLine="420"/>
              <w:rPr>
                <w:rFonts w:hint="eastAsia" w:eastAsia="宋体"/>
                <w:color w:val="auto"/>
                <w:highlight w:val="none"/>
                <w:lang w:val="en-US" w:eastAsia="zh-CN"/>
              </w:rPr>
            </w:pPr>
            <w:r>
              <w:rPr>
                <w:rFonts w:hint="eastAsia" w:eastAsia="宋体"/>
                <w:color w:val="auto"/>
                <w:highlight w:val="none"/>
                <w:lang w:val="en-US" w:eastAsia="zh-CN"/>
              </w:rPr>
              <w:t>2）优化施工方案，合理安排施工进度，加快施工进程，缩短周期，减少影响的时间；避开雨天施工。</w:t>
            </w:r>
          </w:p>
          <w:p w14:paraId="6D65FCE7">
            <w:pPr>
              <w:pStyle w:val="56"/>
              <w:ind w:firstLine="420"/>
              <w:rPr>
                <w:rFonts w:hint="eastAsia" w:eastAsia="宋体"/>
                <w:color w:val="auto"/>
                <w:highlight w:val="none"/>
                <w:lang w:val="en-US" w:eastAsia="zh-CN"/>
              </w:rPr>
            </w:pPr>
            <w:r>
              <w:rPr>
                <w:rFonts w:hint="eastAsia" w:eastAsia="宋体"/>
                <w:color w:val="auto"/>
                <w:highlight w:val="none"/>
                <w:lang w:val="en-US" w:eastAsia="zh-CN"/>
              </w:rPr>
              <w:t>3）严格控制路基开挖施工作业面，避免超挖破坏周围植被；对于坡面工程应及时采取工程或植物措施加以防护以减少水土流失现象发生。</w:t>
            </w:r>
          </w:p>
          <w:p w14:paraId="55DE3455">
            <w:pPr>
              <w:pStyle w:val="56"/>
              <w:ind w:firstLine="420"/>
              <w:rPr>
                <w:rFonts w:hint="eastAsia" w:eastAsia="宋体"/>
                <w:color w:val="auto"/>
                <w:highlight w:val="none"/>
                <w:lang w:val="en-US" w:eastAsia="zh-CN"/>
              </w:rPr>
            </w:pPr>
            <w:r>
              <w:rPr>
                <w:rFonts w:hint="eastAsia" w:eastAsia="宋体"/>
                <w:color w:val="auto"/>
                <w:highlight w:val="none"/>
                <w:lang w:val="en-US" w:eastAsia="zh-CN"/>
              </w:rPr>
              <w:t>4）各种机械、车辆应定期检查维护，减少跑、冒、滴、漏等环节对土壤的污染。</w:t>
            </w:r>
          </w:p>
          <w:p w14:paraId="1B420725">
            <w:pPr>
              <w:pStyle w:val="56"/>
              <w:ind w:firstLine="420"/>
              <w:rPr>
                <w:rFonts w:hint="eastAsia" w:eastAsia="宋体"/>
                <w:color w:val="auto"/>
                <w:highlight w:val="none"/>
                <w:lang w:val="en-US" w:eastAsia="zh-CN"/>
              </w:rPr>
            </w:pPr>
            <w:r>
              <w:rPr>
                <w:rFonts w:hint="eastAsia" w:eastAsia="宋体"/>
                <w:color w:val="auto"/>
                <w:highlight w:val="none"/>
                <w:lang w:val="en-US" w:eastAsia="zh-CN"/>
              </w:rPr>
              <w:t>5）及时处理固体废物如生活垃圾、施工物料和施工垃圾等，杜绝超范围用地。</w:t>
            </w:r>
          </w:p>
          <w:p w14:paraId="784D90CD">
            <w:pPr>
              <w:pStyle w:val="56"/>
              <w:ind w:firstLine="420"/>
              <w:rPr>
                <w:rFonts w:hint="eastAsia" w:eastAsia="宋体"/>
                <w:color w:val="auto"/>
                <w:highlight w:val="none"/>
                <w:lang w:val="en-US" w:eastAsia="zh-CN"/>
              </w:rPr>
            </w:pPr>
            <w:r>
              <w:rPr>
                <w:rFonts w:hint="eastAsia" w:eastAsia="宋体"/>
                <w:color w:val="auto"/>
                <w:highlight w:val="none"/>
                <w:lang w:val="en-US" w:eastAsia="zh-CN"/>
              </w:rPr>
              <w:t>6）本工程不设置施工驻地，施工人员食宿租赁附近民宅。</w:t>
            </w:r>
          </w:p>
          <w:p w14:paraId="3C8FF793">
            <w:pPr>
              <w:pStyle w:val="56"/>
              <w:ind w:firstLine="420"/>
              <w:rPr>
                <w:rFonts w:hint="eastAsia" w:eastAsia="宋体"/>
                <w:color w:val="auto"/>
                <w:highlight w:val="none"/>
                <w:lang w:val="en-US" w:eastAsia="zh-CN"/>
              </w:rPr>
            </w:pPr>
            <w:r>
              <w:rPr>
                <w:rFonts w:hint="eastAsia" w:eastAsia="宋体"/>
                <w:color w:val="auto"/>
                <w:highlight w:val="none"/>
                <w:lang w:val="en-US" w:eastAsia="zh-CN"/>
              </w:rPr>
              <w:t>7）在施工过程中发现国家或省级重点保护野生植物时，应报告当地林业和环境保护部门，并立即实施抢救和妥善保护，并在最近区域内寻找相似生境进行移栽。</w:t>
            </w:r>
          </w:p>
          <w:p w14:paraId="469080BB">
            <w:pPr>
              <w:pStyle w:val="56"/>
              <w:ind w:firstLine="4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）陆生动物保护措施</w:t>
            </w:r>
          </w:p>
          <w:p w14:paraId="3A900444">
            <w:pPr>
              <w:pStyle w:val="56"/>
              <w:ind w:firstLine="420"/>
              <w:rPr>
                <w:rFonts w:hint="eastAsia"/>
                <w:color w:val="auto"/>
                <w:highlight w:val="none"/>
                <w:lang w:eastAsia="zh-CN"/>
              </w:rPr>
            </w:pPr>
            <w:r>
              <w:rPr>
                <w:rFonts w:hint="eastAsia"/>
                <w:color w:val="auto"/>
                <w:highlight w:val="none"/>
                <w:lang w:eastAsia="zh-CN"/>
              </w:rPr>
              <w:t>1）施工期间，建设单位及施工单位应加强施工人员、管理人员生态保护宣传教育，以宣传册、警示牌、宣传牌等形式，对施工区工作、生活人员特别是施工人员及时进行宣传教育；建立生态破坏惩罚制度，严禁施工人员非法捕猎野生动物。</w:t>
            </w:r>
          </w:p>
          <w:p w14:paraId="5697ED36">
            <w:pPr>
              <w:pStyle w:val="56"/>
              <w:ind w:firstLine="420"/>
              <w:rPr>
                <w:rFonts w:hint="eastAsia"/>
                <w:color w:val="auto"/>
                <w:highlight w:val="none"/>
                <w:lang w:eastAsia="zh-CN"/>
              </w:rPr>
            </w:pPr>
            <w:r>
              <w:rPr>
                <w:rFonts w:hint="eastAsia"/>
                <w:color w:val="auto"/>
                <w:highlight w:val="none"/>
                <w:lang w:eastAsia="zh-CN"/>
              </w:rPr>
              <w:t>2）根据施工总平面布置图，确定施工用地范围，进行标桩划界，禁止施工人员、施工机械进入非施工占地区域；非施工区严禁烟火、狩猎和垂钓等活动。禁止施工人员野外用火，使对野生动物的干扰降至最低程度。</w:t>
            </w:r>
          </w:p>
          <w:p w14:paraId="70193C95">
            <w:pPr>
              <w:pStyle w:val="56"/>
              <w:ind w:firstLine="420"/>
              <w:rPr>
                <w:rFonts w:hint="eastAsia"/>
                <w:color w:val="auto"/>
                <w:highlight w:val="none"/>
                <w:lang w:eastAsia="zh-CN"/>
              </w:rPr>
            </w:pPr>
            <w:r>
              <w:rPr>
                <w:rFonts w:hint="eastAsia"/>
                <w:color w:val="auto"/>
                <w:highlight w:val="none"/>
                <w:lang w:eastAsia="zh-CN"/>
              </w:rPr>
              <w:t>3）施工期建设单位及施工范围应加强保护动物基本情况的宣传，增强施工人员的生态保护意识；同时，一旦发现上述保护动物误入工程区，应及时上报，严禁捕杀。</w:t>
            </w:r>
          </w:p>
          <w:p w14:paraId="10723E15">
            <w:pPr>
              <w:pStyle w:val="56"/>
              <w:ind w:firstLine="420"/>
              <w:rPr>
                <w:rFonts w:hint="default" w:eastAsia="宋体"/>
                <w:color w:val="auto"/>
                <w:highlight w:val="none"/>
                <w:lang w:val="en-US" w:eastAsia="zh-CN"/>
              </w:rPr>
            </w:pPr>
            <w:r>
              <w:rPr>
                <w:rFonts w:hint="eastAsia"/>
                <w:color w:val="auto"/>
                <w:highlight w:val="none"/>
                <w:lang w:eastAsia="zh-CN"/>
              </w:rPr>
              <w:t>4）加强工程建设的环境保护监督管理、统筹安排，设立环境保护监督机构和环保专职人员，加强对施工人员的环保教育，严禁施工人员盗猎野生动物，对违法行为进行依法处置。</w:t>
            </w:r>
          </w:p>
          <w:p w14:paraId="2A4E8D6C">
            <w:pPr>
              <w:pStyle w:val="56"/>
              <w:ind w:firstLine="4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）水生生态保护</w:t>
            </w:r>
          </w:p>
          <w:p w14:paraId="0F7D2F83">
            <w:pPr>
              <w:pStyle w:val="56"/>
              <w:ind w:firstLine="420"/>
              <w:rPr>
                <w:rFonts w:hint="eastAsia"/>
                <w:color w:val="auto"/>
                <w:highlight w:val="none"/>
                <w:lang w:eastAsia="zh-CN"/>
              </w:rPr>
            </w:pPr>
            <w:r>
              <w:rPr>
                <w:rFonts w:hint="eastAsia"/>
                <w:color w:val="auto"/>
                <w:highlight w:val="none"/>
                <w:lang w:eastAsia="zh-CN"/>
              </w:rPr>
              <w:t>1）加强施工期管理和环境保护宣传，禁止施工人员钓、网等捕鱼行为发生。</w:t>
            </w:r>
          </w:p>
          <w:p w14:paraId="53D92FFB">
            <w:pPr>
              <w:pStyle w:val="56"/>
              <w:ind w:firstLine="420"/>
              <w:rPr>
                <w:rFonts w:hint="eastAsia"/>
                <w:color w:val="auto"/>
                <w:highlight w:val="none"/>
                <w:lang w:eastAsia="zh-CN"/>
              </w:rPr>
            </w:pPr>
            <w:r>
              <w:rPr>
                <w:rFonts w:hint="eastAsia"/>
                <w:color w:val="auto"/>
                <w:highlight w:val="none"/>
                <w:lang w:eastAsia="zh-CN"/>
              </w:rPr>
              <w:t>2）施工期间应及时处理固体垃圾，有效处理废水，禁止将生产生活污水排入地表水体，防止污染河流水质事件的发生。严禁有毒有害物质进入水体对鱼类等水生生物造成伤害。</w:t>
            </w:r>
          </w:p>
          <w:p w14:paraId="75F6E298">
            <w:pPr>
              <w:pStyle w:val="56"/>
              <w:ind w:firstLine="420"/>
              <w:rPr>
                <w:rFonts w:hint="eastAsia"/>
                <w:color w:val="auto"/>
                <w:highlight w:val="none"/>
                <w:lang w:eastAsia="zh-CN"/>
              </w:rPr>
            </w:pPr>
            <w:r>
              <w:rPr>
                <w:rFonts w:hint="eastAsia"/>
                <w:color w:val="auto"/>
                <w:highlight w:val="none"/>
                <w:lang w:eastAsia="zh-CN"/>
              </w:rPr>
              <w:t>3）施工期间尽可能减少噪声，采取低噪声设备施工，减少噪声对鱼类影响。</w:t>
            </w:r>
          </w:p>
          <w:p w14:paraId="1EF4E36C">
            <w:pPr>
              <w:pStyle w:val="56"/>
              <w:ind w:firstLine="420"/>
              <w:rPr>
                <w:rFonts w:hint="eastAsia"/>
                <w:color w:val="auto"/>
                <w:highlight w:val="none"/>
                <w:lang w:eastAsia="zh-CN"/>
              </w:rPr>
            </w:pPr>
            <w:r>
              <w:rPr>
                <w:rFonts w:hint="eastAsia"/>
                <w:color w:val="auto"/>
                <w:highlight w:val="none"/>
                <w:lang w:eastAsia="zh-CN"/>
              </w:rPr>
              <w:t>4）与当地渔业管理部门通力协作，加大渔政管理，加强施工期和运行期渔政执法力度，打击非法捕捞天然鱼类资源违法行为。</w:t>
            </w:r>
          </w:p>
          <w:p w14:paraId="69518370">
            <w:pPr>
              <w:pStyle w:val="56"/>
              <w:ind w:firstLine="420"/>
              <w:rPr>
                <w:rFonts w:hint="eastAsia"/>
                <w:color w:val="auto"/>
                <w:highlight w:val="none"/>
                <w:lang w:eastAsia="zh-CN"/>
              </w:rPr>
            </w:pPr>
            <w:r>
              <w:rPr>
                <w:rFonts w:hint="eastAsia"/>
                <w:color w:val="auto"/>
                <w:highlight w:val="none"/>
                <w:lang w:eastAsia="zh-CN"/>
              </w:rPr>
              <w:t>5）加强施工期水生生物监测工作，开展鱼类、浮游植物、浮游动物、底栖动物种类组成、生物量等水生生物监测工作，遇到问题及时发现及时整改，排除隐患。</w:t>
            </w:r>
          </w:p>
          <w:p w14:paraId="2603C54C">
            <w:pPr>
              <w:pStyle w:val="56"/>
              <w:ind w:firstLine="4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）各类环境敏感区保护</w:t>
            </w:r>
          </w:p>
          <w:p w14:paraId="4D4B4ABB">
            <w:pPr>
              <w:pStyle w:val="56"/>
              <w:ind w:firstLine="420"/>
              <w:rPr>
                <w:rFonts w:hint="eastAsia"/>
                <w:color w:val="auto"/>
                <w:highlight w:val="none"/>
                <w:lang w:eastAsia="zh-CN"/>
              </w:rPr>
            </w:pPr>
            <w:r>
              <w:rPr>
                <w:rFonts w:hint="eastAsia"/>
                <w:color w:val="auto"/>
                <w:highlight w:val="none"/>
                <w:lang w:eastAsia="zh-CN"/>
              </w:rPr>
              <w:t>工程施工涉及1个自然保护区、1个国家湿地公园和1个生态保护红线，根据前文施工期影响分析结论，提出以下保护措施及要求：</w:t>
            </w:r>
          </w:p>
          <w:p w14:paraId="39E5201C">
            <w:pPr>
              <w:pStyle w:val="56"/>
              <w:ind w:firstLine="420"/>
              <w:rPr>
                <w:rFonts w:hint="eastAsia"/>
                <w:color w:val="auto"/>
                <w:highlight w:val="none"/>
                <w:lang w:eastAsia="zh-CN"/>
              </w:rPr>
            </w:pPr>
            <w:r>
              <w:rPr>
                <w:rFonts w:hint="eastAsia"/>
                <w:color w:val="auto"/>
                <w:highlight w:val="none"/>
                <w:lang w:eastAsia="zh-CN"/>
              </w:rPr>
              <w:t>1）工程建设前在取得环境敏感区管理部门同意建设的意见后，按环境敏感区管理部门相关要求进行施工，并在施工前将环境敏感区内工程施工方案提交环境敏感区管理部门进行审查，经同意后方可施工。</w:t>
            </w:r>
          </w:p>
          <w:p w14:paraId="650A4316">
            <w:pPr>
              <w:pStyle w:val="56"/>
              <w:ind w:firstLine="420"/>
              <w:rPr>
                <w:rFonts w:hint="eastAsia"/>
                <w:color w:val="auto"/>
                <w:highlight w:val="none"/>
                <w:lang w:eastAsia="zh-CN"/>
              </w:rPr>
            </w:pPr>
            <w:r>
              <w:rPr>
                <w:rFonts w:hint="eastAsia"/>
                <w:color w:val="auto"/>
                <w:highlight w:val="none"/>
                <w:lang w:eastAsia="zh-CN"/>
              </w:rPr>
              <w:t>2）明确施工用地范围，环境敏感区内的工程施工期间应严格控制施工占地红线，禁止施工人员、车辆进入非施工占地区域；严禁烟火、狩猎等活动，使对保护区内陆生动物的干扰降至最低程度。</w:t>
            </w:r>
          </w:p>
          <w:p w14:paraId="3D8BA855">
            <w:pPr>
              <w:pStyle w:val="56"/>
              <w:ind w:firstLine="420"/>
              <w:rPr>
                <w:rFonts w:hint="eastAsia"/>
                <w:color w:val="auto"/>
                <w:highlight w:val="none"/>
                <w:lang w:eastAsia="zh-CN"/>
              </w:rPr>
            </w:pPr>
            <w:r>
              <w:rPr>
                <w:rFonts w:hint="eastAsia"/>
                <w:color w:val="auto"/>
                <w:highlight w:val="none"/>
                <w:lang w:eastAsia="zh-CN"/>
              </w:rPr>
              <w:t>3）施工车辆临近或进入环境敏感区时，应限速行驶、禁止鸣笛，以减少对陆生动物的惊扰。</w:t>
            </w:r>
          </w:p>
          <w:p w14:paraId="2A9F894A">
            <w:pPr>
              <w:pStyle w:val="56"/>
              <w:ind w:firstLine="420"/>
              <w:rPr>
                <w:rFonts w:hint="eastAsia"/>
                <w:color w:val="auto"/>
                <w:highlight w:val="none"/>
                <w:lang w:eastAsia="zh-CN"/>
              </w:rPr>
            </w:pPr>
            <w:r>
              <w:rPr>
                <w:rFonts w:hint="eastAsia"/>
                <w:color w:val="auto"/>
                <w:highlight w:val="none"/>
                <w:lang w:eastAsia="zh-CN"/>
              </w:rPr>
              <w:t>4）施工期加强施工人员的生态保护意识；一旦发现保护动物误入工程施工区域，应及时上报，加强保护、严禁捕杀；同时在护坡施工区域设置警示牌、宣传牌等，加强施工人员自然保护区保护意识。</w:t>
            </w:r>
          </w:p>
          <w:p w14:paraId="6721592C">
            <w:pPr>
              <w:pStyle w:val="56"/>
              <w:ind w:firstLine="420"/>
              <w:rPr>
                <w:rFonts w:hint="eastAsia"/>
                <w:color w:val="auto"/>
                <w:highlight w:val="none"/>
                <w:lang w:eastAsia="zh-CN"/>
              </w:rPr>
            </w:pPr>
            <w:r>
              <w:rPr>
                <w:rFonts w:hint="eastAsia"/>
                <w:color w:val="auto"/>
                <w:highlight w:val="none"/>
                <w:lang w:eastAsia="zh-CN"/>
              </w:rPr>
              <w:t>5）工程施工将对周边的野生动物造成一定的影响。因此，施工期应采取措施尽量减少施工噪声和空气中的扬尘，最大程度地减少对野生动物的干扰。</w:t>
            </w:r>
          </w:p>
          <w:p w14:paraId="371DF2EE">
            <w:pPr>
              <w:pStyle w:val="56"/>
              <w:ind w:firstLine="420"/>
              <w:rPr>
                <w:rFonts w:hint="eastAsia"/>
                <w:color w:val="auto"/>
                <w:highlight w:val="none"/>
                <w:lang w:eastAsia="zh-CN"/>
              </w:rPr>
            </w:pPr>
            <w:r>
              <w:rPr>
                <w:rFonts w:hint="eastAsia"/>
                <w:color w:val="auto"/>
                <w:highlight w:val="none"/>
                <w:lang w:eastAsia="zh-CN"/>
              </w:rPr>
              <w:t>6）设立环境保护监督机构和环保专职人员，加强施工期环境保护监督管理。加强施工人员生态保护宣传教育，以宣传册、宣传牌及警示牌等形式，对施工区工作生活人员特别是施工人员及时进行宣传教育；建立生态破坏惩罚制度，严禁施工人员非法捕猎野生动物。</w:t>
            </w:r>
          </w:p>
          <w:p w14:paraId="7B7C564F">
            <w:pPr>
              <w:pStyle w:val="56"/>
              <w:ind w:firstLine="420"/>
              <w:rPr>
                <w:rFonts w:hint="eastAsia"/>
                <w:color w:val="auto"/>
                <w:highlight w:val="none"/>
                <w:lang w:eastAsia="zh-CN"/>
              </w:rPr>
            </w:pPr>
            <w:r>
              <w:rPr>
                <w:rFonts w:hint="eastAsia"/>
                <w:color w:val="auto"/>
                <w:highlight w:val="none"/>
                <w:lang w:eastAsia="zh-CN"/>
              </w:rPr>
              <w:t>7）在不损害环境敏感区环境质量和生态功能的前提下，施工单位与环境敏感区管理部门协商，合理规划，明确合理的施工时间，确定合理的运输线路和施工场地，在指定的时间、地点以指定的生产方式进行工程建设，严格控制施工人员、施工机械、运输车辆的出入，防止对湿地景观和动植物的破坏。</w:t>
            </w:r>
          </w:p>
          <w:p w14:paraId="713C79E8">
            <w:pPr>
              <w:pStyle w:val="56"/>
              <w:ind w:firstLine="42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）水土流失防治措施</w:t>
            </w:r>
          </w:p>
          <w:p w14:paraId="56BC3421">
            <w:pPr>
              <w:pStyle w:val="56"/>
              <w:ind w:firstLine="420"/>
              <w:rPr>
                <w:rFonts w:hint="eastAsia" w:eastAsia="宋体"/>
                <w:color w:val="auto"/>
                <w:highlight w:val="none"/>
                <w:lang w:eastAsia="zh-CN"/>
              </w:rPr>
            </w:pPr>
            <w:r>
              <w:rPr>
                <w:rFonts w:hint="eastAsia" w:eastAsia="宋体"/>
                <w:color w:val="auto"/>
                <w:highlight w:val="none"/>
                <w:lang w:eastAsia="zh-CN"/>
              </w:rPr>
              <w:t>本区水土保持治理以主体工程布置的具有水土保持功能的措施为主。本工程护岸采用雷诺护垫结构型式。护坡工程布置目的就是防止岸坡塌落，控制水土流失，即工程本身可以说就是一项水土保持工程，护岸工程布置具备了水土保持功能施工时序、施工工艺、防护方案合理，工程数量充足。故该区以主体工程布置的具有水土保持功能的措施为主，辅以水土保持预防保护措施。</w:t>
            </w:r>
          </w:p>
          <w:p w14:paraId="79BBA8BD">
            <w:pPr>
              <w:pStyle w:val="56"/>
              <w:ind w:firstLine="420"/>
              <w:rPr>
                <w:color w:val="auto"/>
                <w:highlight w:val="none"/>
              </w:rPr>
            </w:pPr>
            <w:r>
              <w:rPr>
                <w:rFonts w:hint="eastAsia" w:eastAsia="宋体"/>
                <w:color w:val="auto"/>
                <w:highlight w:val="none"/>
                <w:lang w:eastAsia="zh-CN"/>
              </w:rPr>
              <w:t>施工期间水土保持设计将开挖待回填的土方堆置在主体工程区内，施工期间堆土高度控制在1m以内，边坡比为1:1，水土保持设计对堆置的土方外表面进行密目网苫盖，对坡脚压盖单袋编织袋装土，施工结束后拆除，单个编织袋的规格为长0.8m，宽0.3m，厚0.2m。施工生产区采取堆土拦挡、迹地恢复等切实可行的污染防治措施</w:t>
            </w:r>
            <w:r>
              <w:rPr>
                <w:rFonts w:hint="eastAsia"/>
                <w:color w:val="auto"/>
                <w:highlight w:val="none"/>
                <w:lang w:eastAsia="zh-CN"/>
              </w:rPr>
              <w:t>。</w:t>
            </w:r>
          </w:p>
          <w:p w14:paraId="3AFEF3F0">
            <w:pPr>
              <w:pStyle w:val="56"/>
              <w:ind w:firstLine="420"/>
              <w:rPr>
                <w:rFonts w:hint="eastAsia"/>
                <w:color w:val="auto"/>
                <w:highlight w:val="none"/>
              </w:rPr>
            </w:pPr>
            <w:r>
              <w:rPr>
                <w:rFonts w:hint="eastAsia"/>
                <w:color w:val="auto"/>
                <w:highlight w:val="none"/>
              </w:rPr>
              <w:t>（</w:t>
            </w:r>
            <w:r>
              <w:rPr>
                <w:color w:val="auto"/>
                <w:highlight w:val="none"/>
              </w:rPr>
              <w:t>6</w:t>
            </w:r>
            <w:r>
              <w:rPr>
                <w:rFonts w:hint="eastAsia"/>
                <w:color w:val="auto"/>
                <w:highlight w:val="none"/>
              </w:rPr>
              <w:t>）环境风险防范措施</w:t>
            </w:r>
          </w:p>
          <w:p w14:paraId="63BEE888">
            <w:pPr>
              <w:pStyle w:val="56"/>
              <w:ind w:firstLine="420"/>
              <w:rPr>
                <w:rFonts w:hint="eastAsia"/>
                <w:color w:val="auto"/>
                <w:highlight w:val="none"/>
              </w:rPr>
            </w:pPr>
            <w:r>
              <w:rPr>
                <w:rFonts w:hint="eastAsia"/>
                <w:color w:val="auto"/>
                <w:highlight w:val="none"/>
              </w:rPr>
              <w:t>施工期的环境风险主要为施工期油料（柴油及汽油）的运输、使用过程中均可能因人为因素或管理不当造成风险。由于项目施工期施工现场不设置油料储存装置，所需油料即用即购，施工期造成的环境风险影响较小。</w:t>
            </w:r>
          </w:p>
          <w:p w14:paraId="692AF6D8">
            <w:pPr>
              <w:pStyle w:val="56"/>
              <w:ind w:firstLine="420"/>
              <w:rPr>
                <w:color w:val="auto"/>
                <w:highlight w:val="none"/>
              </w:rPr>
            </w:pPr>
            <w:r>
              <w:rPr>
                <w:rFonts w:hint="eastAsia"/>
                <w:color w:val="auto"/>
                <w:highlight w:val="none"/>
              </w:rPr>
              <w:t>施工期油料机械用油泄露、火灾、爆炸风险防范措施主要为：根据危险品储运过程中的有关规定，油料在运输过程中必须严格遵守危险货物运输的有关规定，如在运输过程中危险货物的标志要醒目，采用统一的标志图徽。油料使用应满足相关安全生产规范要求。加强安全防护宣传与监督管理，严格执行操作。</w:t>
            </w:r>
          </w:p>
          <w:p w14:paraId="2FD697E3">
            <w:pPr>
              <w:pStyle w:val="56"/>
              <w:ind w:firstLine="420"/>
              <w:rPr>
                <w:color w:val="auto"/>
                <w:highlight w:val="none"/>
              </w:rPr>
            </w:pPr>
            <w:r>
              <w:rPr>
                <w:rFonts w:hint="eastAsia"/>
                <w:color w:val="auto"/>
                <w:highlight w:val="none"/>
              </w:rPr>
              <w:t>施工区域施工人员野外作业必然带来野外火源管理的压力，必须把火的管理放在首要位置，常抓不懈，杜绝一切隐患。积极贯彻《森林防火条例》，加强防火宣传教育，时时敲响防火警钟，禁止在区域内附近吸烟和生火，做好生活和生产用火的火源管理，建立施工区防火及火警警报系统和管理制度，明确责任制最大程度避免发生火灾。</w:t>
            </w:r>
          </w:p>
          <w:p w14:paraId="16D0B13C">
            <w:pPr>
              <w:pStyle w:val="56"/>
              <w:ind w:firstLine="420"/>
              <w:rPr>
                <w:color w:val="auto"/>
                <w:highlight w:val="none"/>
              </w:rPr>
            </w:pPr>
            <w:r>
              <w:rPr>
                <w:color w:val="auto"/>
                <w:highlight w:val="none"/>
              </w:rPr>
              <w:t>（7）管理措施</w:t>
            </w:r>
          </w:p>
          <w:p w14:paraId="5F2C1772">
            <w:pPr>
              <w:pStyle w:val="56"/>
              <w:ind w:firstLine="420"/>
              <w:rPr>
                <w:color w:val="auto"/>
                <w:highlight w:val="none"/>
              </w:rPr>
            </w:pPr>
            <w:r>
              <w:rPr>
                <w:color w:val="auto"/>
                <w:highlight w:val="none"/>
              </w:rPr>
              <w:t>A.对施工人员进行施工期环保措施的宣传教育，对每一位上岗人员进行培训，让他们充分认识每一项环保措施及落实的重要性，真正使环保措施起到应有的作用。</w:t>
            </w:r>
          </w:p>
          <w:p w14:paraId="398C69A6">
            <w:pPr>
              <w:pStyle w:val="56"/>
              <w:ind w:firstLine="420"/>
              <w:rPr>
                <w:color w:val="auto"/>
                <w:highlight w:val="none"/>
              </w:rPr>
            </w:pPr>
            <w:r>
              <w:rPr>
                <w:color w:val="auto"/>
                <w:highlight w:val="none"/>
              </w:rPr>
              <w:t>B.施工单位和人员要严格遵守国家法令，爱护保护区内所有的动物和昆虫。爱护施工区域内的生态环境，除施工必须外，爱护一草一木，不砍伐当地树木。</w:t>
            </w:r>
          </w:p>
          <w:p w14:paraId="5ABDDB19">
            <w:pPr>
              <w:pStyle w:val="56"/>
              <w:ind w:firstLine="420"/>
              <w:rPr>
                <w:color w:val="auto"/>
                <w:highlight w:val="none"/>
              </w:rPr>
            </w:pPr>
            <w:r>
              <w:rPr>
                <w:color w:val="auto"/>
                <w:highlight w:val="none"/>
              </w:rPr>
              <w:t>C.保护原有地貌不被破坏，施工挖掘地表时，尽可能保护原有地层。</w:t>
            </w:r>
          </w:p>
          <w:p w14:paraId="408B2719">
            <w:pPr>
              <w:pStyle w:val="56"/>
              <w:ind w:firstLine="420"/>
              <w:rPr>
                <w:color w:val="auto"/>
                <w:highlight w:val="none"/>
              </w:rPr>
            </w:pPr>
            <w:r>
              <w:rPr>
                <w:color w:val="auto"/>
                <w:highlight w:val="none"/>
              </w:rPr>
              <w:t>D.施工结束后，施工单位应负责及时清理现场，使之尽快恢复原状。</w:t>
            </w:r>
          </w:p>
          <w:p w14:paraId="04997F72">
            <w:pPr>
              <w:pStyle w:val="56"/>
              <w:ind w:firstLine="420"/>
              <w:rPr>
                <w:color w:val="auto"/>
                <w:highlight w:val="none"/>
              </w:rPr>
            </w:pPr>
            <w:r>
              <w:rPr>
                <w:rFonts w:hint="eastAsia"/>
                <w:color w:val="auto"/>
                <w:highlight w:val="none"/>
              </w:rPr>
              <w:t>本项目施工可能会对周边环境造成一定的影响，会影响到水生生物的生存、行为、繁殖和分布，生物多样性减少，好氧浮游生物、鱼类、底栖动物会因环境的恶化而死亡，从而造成整个水生生态系统一系列的变化。尽管这些影响基本都是不利的，但同时也是可逆的，而且影响时间较短，项目建成后将明显改善所在地水体的环境质量，且在施工完成一段时间后，采取植物护岸形式会让因施工被破坏的原始生态系统将很快得以恢复。因此本项目在施工过程中对生态环境影响较小。采取上述措施后，可以减少植被破坏、控制施工范围、有利于减少水土流失、植被恢复、恢复和改善陆生、水生生物的生存环境，故该措施技术可行、经济合理、效果可达。</w:t>
            </w:r>
          </w:p>
          <w:p w14:paraId="7D52FF30">
            <w:pPr>
              <w:pStyle w:val="56"/>
              <w:ind w:firstLine="420"/>
              <w:rPr>
                <w:color w:val="auto"/>
                <w:highlight w:val="none"/>
              </w:rPr>
            </w:pPr>
            <w:r>
              <w:rPr>
                <w:rFonts w:hint="eastAsia"/>
                <w:color w:val="auto"/>
                <w:highlight w:val="none"/>
              </w:rPr>
              <w:t>6、人群健康保护</w:t>
            </w:r>
          </w:p>
          <w:p w14:paraId="52566B65">
            <w:pPr>
              <w:pStyle w:val="56"/>
              <w:ind w:firstLine="420"/>
              <w:rPr>
                <w:rFonts w:hint="eastAsia"/>
                <w:color w:val="auto"/>
                <w:szCs w:val="32"/>
                <w:highlight w:val="none"/>
              </w:rPr>
            </w:pPr>
            <w:r>
              <w:rPr>
                <w:rFonts w:hint="eastAsia"/>
                <w:color w:val="auto"/>
                <w:szCs w:val="32"/>
                <w:highlight w:val="none"/>
              </w:rPr>
              <w:t>施工期间，施工人员在短时间内大量进入施工区，民工及其他人员来自各地，施工人员居住地拥挤狭窄、劳动强度大，若不加强卫生防疫工作，搞好环境卫生和施工人员自身的保护工作等，极易形成传染病在工地流行。参照黑龙江同类已建工程及在建工程施工期疫情控制经验，对施工区人群采取如下保护措施：</w:t>
            </w:r>
          </w:p>
          <w:p w14:paraId="01B7EEB9">
            <w:pPr>
              <w:pStyle w:val="56"/>
              <w:ind w:firstLine="420"/>
              <w:rPr>
                <w:rFonts w:hint="eastAsia"/>
                <w:color w:val="auto"/>
                <w:szCs w:val="32"/>
                <w:highlight w:val="none"/>
              </w:rPr>
            </w:pPr>
            <w:r>
              <w:rPr>
                <w:rFonts w:hint="eastAsia"/>
                <w:color w:val="auto"/>
                <w:szCs w:val="32"/>
                <w:highlight w:val="none"/>
              </w:rPr>
              <w:t>（1）环境卫生</w:t>
            </w:r>
          </w:p>
          <w:p w14:paraId="4B60AD69">
            <w:pPr>
              <w:pStyle w:val="56"/>
              <w:ind w:firstLine="420"/>
              <w:rPr>
                <w:rFonts w:hint="eastAsia"/>
                <w:color w:val="auto"/>
                <w:szCs w:val="32"/>
                <w:highlight w:val="none"/>
              </w:rPr>
            </w:pPr>
            <w:r>
              <w:rPr>
                <w:rFonts w:hint="eastAsia"/>
                <w:color w:val="auto"/>
                <w:szCs w:val="32"/>
                <w:highlight w:val="none"/>
              </w:rPr>
              <w:t>1）卫生清理</w:t>
            </w:r>
          </w:p>
          <w:p w14:paraId="643818FF">
            <w:pPr>
              <w:pStyle w:val="56"/>
              <w:ind w:firstLine="420"/>
              <w:rPr>
                <w:rFonts w:hint="eastAsia" w:eastAsia="宋体"/>
                <w:color w:val="auto"/>
                <w:szCs w:val="32"/>
                <w:highlight w:val="none"/>
                <w:lang w:eastAsia="zh-CN"/>
              </w:rPr>
            </w:pPr>
            <w:r>
              <w:rPr>
                <w:rFonts w:hint="eastAsia"/>
                <w:color w:val="auto"/>
                <w:szCs w:val="32"/>
                <w:highlight w:val="none"/>
              </w:rPr>
              <w:t>根据《中华人民共和国传染病防治法》中的第十九条，承担工程的承包商，正式开工前应申请当地疾病预防控制中心对施工区环境进行卫生调查。在施工人员进入施工现场前，对施工区进行一次性清理和消毒，清除垃圾堆、固体废弃物等，有效消除病原性（细菌、病毒、寄生虫卵）污染物，防止施工人员中传染性疾病的发生与流行，避免对当地居住人群健康造成不利影响。施工期间定期开展动物性传染源和传播媒介的清理，主要是灭鼠，灭鼠用鼠夹法或毒饵法（溴敌降颗粒）</w:t>
            </w:r>
            <w:r>
              <w:rPr>
                <w:rFonts w:hint="eastAsia"/>
                <w:color w:val="auto"/>
                <w:szCs w:val="32"/>
                <w:highlight w:val="none"/>
                <w:lang w:eastAsia="zh-CN"/>
              </w:rPr>
              <w:t>。</w:t>
            </w:r>
          </w:p>
          <w:p w14:paraId="07EB23F2">
            <w:pPr>
              <w:pStyle w:val="56"/>
              <w:ind w:firstLine="420"/>
              <w:rPr>
                <w:rFonts w:hint="eastAsia"/>
                <w:color w:val="auto"/>
                <w:szCs w:val="32"/>
                <w:highlight w:val="none"/>
              </w:rPr>
            </w:pPr>
            <w:r>
              <w:rPr>
                <w:rFonts w:hint="eastAsia"/>
                <w:color w:val="auto"/>
                <w:szCs w:val="32"/>
                <w:highlight w:val="none"/>
              </w:rPr>
              <w:t>2）卫生设施设置</w:t>
            </w:r>
          </w:p>
          <w:p w14:paraId="34537571">
            <w:pPr>
              <w:pStyle w:val="56"/>
              <w:ind w:firstLine="420"/>
              <w:rPr>
                <w:rFonts w:hint="eastAsia"/>
                <w:color w:val="auto"/>
                <w:szCs w:val="32"/>
                <w:highlight w:val="none"/>
              </w:rPr>
            </w:pPr>
            <w:r>
              <w:rPr>
                <w:rFonts w:hint="eastAsia"/>
                <w:color w:val="auto"/>
                <w:szCs w:val="32"/>
                <w:highlight w:val="none"/>
              </w:rPr>
              <w:t>参照城市卫生设施的有关设置要求，施工沿线需建立临时卫生设施。为防止施工期间施工人员生活污水及生活垃圾影响施工区环境卫生，在施工营地设置</w:t>
            </w:r>
            <w:r>
              <w:rPr>
                <w:rFonts w:hint="eastAsia"/>
                <w:color w:val="auto"/>
                <w:szCs w:val="32"/>
                <w:highlight w:val="none"/>
                <w:lang w:val="en-US" w:eastAsia="zh-CN"/>
              </w:rPr>
              <w:t>临时防渗旱厕</w:t>
            </w:r>
            <w:r>
              <w:rPr>
                <w:rFonts w:hint="eastAsia"/>
                <w:color w:val="auto"/>
                <w:szCs w:val="32"/>
                <w:highlight w:val="none"/>
              </w:rPr>
              <w:t>和垃圾桶。在施工区设置2个垃圾桶，施工期间生活垃圾及时清运，保持良好的环境卫生。</w:t>
            </w:r>
          </w:p>
          <w:p w14:paraId="28123D51">
            <w:pPr>
              <w:pStyle w:val="56"/>
              <w:ind w:firstLine="420"/>
              <w:rPr>
                <w:rFonts w:hint="eastAsia"/>
                <w:color w:val="auto"/>
                <w:szCs w:val="32"/>
                <w:highlight w:val="none"/>
              </w:rPr>
            </w:pPr>
            <w:r>
              <w:rPr>
                <w:rFonts w:hint="eastAsia"/>
                <w:color w:val="auto"/>
                <w:szCs w:val="32"/>
                <w:highlight w:val="none"/>
              </w:rPr>
              <w:t>3）无害化处理</w:t>
            </w:r>
          </w:p>
          <w:p w14:paraId="2D660C2B">
            <w:pPr>
              <w:pStyle w:val="56"/>
              <w:ind w:firstLine="420"/>
              <w:rPr>
                <w:rFonts w:hint="eastAsia"/>
                <w:color w:val="auto"/>
                <w:szCs w:val="32"/>
                <w:highlight w:val="none"/>
              </w:rPr>
            </w:pPr>
            <w:r>
              <w:rPr>
                <w:rFonts w:hint="eastAsia"/>
                <w:color w:val="auto"/>
                <w:szCs w:val="32"/>
                <w:highlight w:val="none"/>
              </w:rPr>
              <w:t>施工营地的临时卫生设施在使用期间，由工程承包商负责定期采用生石灰消毒和清运，此外，对施工人员不再使用的临时卫生设施经无害化处理后拆除填埋。</w:t>
            </w:r>
          </w:p>
          <w:p w14:paraId="4A93BECB">
            <w:pPr>
              <w:pStyle w:val="56"/>
              <w:ind w:firstLine="420"/>
              <w:rPr>
                <w:rFonts w:hint="eastAsia"/>
                <w:color w:val="auto"/>
                <w:szCs w:val="32"/>
                <w:highlight w:val="none"/>
              </w:rPr>
            </w:pPr>
            <w:r>
              <w:rPr>
                <w:rFonts w:hint="eastAsia"/>
                <w:color w:val="auto"/>
                <w:szCs w:val="32"/>
                <w:highlight w:val="none"/>
              </w:rPr>
              <w:t>4）加强卫生防疫知识宣传</w:t>
            </w:r>
          </w:p>
          <w:p w14:paraId="24F7EC3E">
            <w:pPr>
              <w:pStyle w:val="56"/>
              <w:ind w:firstLine="420"/>
              <w:rPr>
                <w:rFonts w:hint="eastAsia"/>
                <w:color w:val="auto"/>
                <w:szCs w:val="32"/>
                <w:highlight w:val="none"/>
              </w:rPr>
            </w:pPr>
            <w:r>
              <w:rPr>
                <w:rFonts w:hint="eastAsia"/>
                <w:color w:val="auto"/>
                <w:szCs w:val="32"/>
                <w:highlight w:val="none"/>
              </w:rPr>
              <w:t>施工人员进场前及施工期间，对其进行卫生防疫及保健知识宣传，主要宣传内容为肝炎、肺结核、痢疾、麻疹、新冠肺炎等主要流行性传染病的感染途径、症状及危害、预防措施等。</w:t>
            </w:r>
          </w:p>
          <w:p w14:paraId="7AED7EEF">
            <w:pPr>
              <w:pStyle w:val="56"/>
              <w:ind w:firstLine="420"/>
              <w:rPr>
                <w:rFonts w:hint="eastAsia"/>
                <w:color w:val="auto"/>
                <w:szCs w:val="32"/>
                <w:highlight w:val="none"/>
              </w:rPr>
            </w:pPr>
            <w:r>
              <w:rPr>
                <w:rFonts w:hint="eastAsia"/>
                <w:color w:val="auto"/>
                <w:szCs w:val="32"/>
                <w:highlight w:val="none"/>
              </w:rPr>
              <w:t>（2）环境及食品卫生管理</w:t>
            </w:r>
          </w:p>
          <w:p w14:paraId="2524F3C5">
            <w:pPr>
              <w:pStyle w:val="56"/>
              <w:ind w:firstLine="420"/>
              <w:rPr>
                <w:rFonts w:hint="eastAsia"/>
                <w:color w:val="auto"/>
                <w:szCs w:val="32"/>
                <w:highlight w:val="none"/>
              </w:rPr>
            </w:pPr>
            <w:r>
              <w:rPr>
                <w:rFonts w:hint="eastAsia"/>
                <w:color w:val="auto"/>
                <w:szCs w:val="32"/>
                <w:highlight w:val="none"/>
              </w:rPr>
              <w:t>施工期加强对施工人员生活区、办公区、生活区饮用水源、公共餐饮场所、垃圾堆放点、防渗旱厕等地的环境卫生管理，定期进行卫生检查，除日常清理外，每月至少集中清理2次。</w:t>
            </w:r>
          </w:p>
          <w:p w14:paraId="22379A1C">
            <w:pPr>
              <w:pStyle w:val="56"/>
              <w:ind w:firstLine="420"/>
              <w:rPr>
                <w:rFonts w:hint="eastAsia"/>
                <w:color w:val="auto"/>
                <w:szCs w:val="32"/>
                <w:highlight w:val="none"/>
              </w:rPr>
            </w:pPr>
            <w:r>
              <w:rPr>
                <w:rFonts w:hint="eastAsia"/>
                <w:color w:val="auto"/>
                <w:szCs w:val="32"/>
                <w:highlight w:val="none"/>
              </w:rPr>
              <w:t>从事餐饮工作的人员必须取得卫生许可证，并定期进行体检，有传染病带菌者要撤离其岗位。定期对饮用水源进行监测，以保证饮用水水质良好。成立专门的清洁队伍，负责施工区、办公区、生活区的清扫工作，设置垃圾桶、垃圾车。公共卫生设施应达到国家卫生标准和要求。</w:t>
            </w:r>
          </w:p>
          <w:p w14:paraId="072AB765">
            <w:pPr>
              <w:pStyle w:val="56"/>
              <w:ind w:firstLine="420"/>
              <w:rPr>
                <w:rFonts w:hint="eastAsia"/>
                <w:color w:val="auto"/>
                <w:szCs w:val="32"/>
                <w:highlight w:val="none"/>
              </w:rPr>
            </w:pPr>
            <w:r>
              <w:rPr>
                <w:rFonts w:hint="eastAsia"/>
                <w:color w:val="auto"/>
                <w:szCs w:val="32"/>
                <w:highlight w:val="none"/>
              </w:rPr>
              <w:t>（3）卫生防疫</w:t>
            </w:r>
          </w:p>
          <w:p w14:paraId="2D408508">
            <w:pPr>
              <w:pStyle w:val="56"/>
              <w:ind w:firstLine="420"/>
              <w:rPr>
                <w:rFonts w:hint="eastAsia"/>
                <w:color w:val="auto"/>
                <w:szCs w:val="32"/>
                <w:highlight w:val="none"/>
              </w:rPr>
            </w:pPr>
            <w:r>
              <w:rPr>
                <w:rFonts w:hint="eastAsia"/>
                <w:color w:val="auto"/>
                <w:szCs w:val="32"/>
                <w:highlight w:val="none"/>
              </w:rPr>
              <w:t>1）建档及疫情普查</w:t>
            </w:r>
          </w:p>
          <w:p w14:paraId="5E9249CE">
            <w:pPr>
              <w:pStyle w:val="56"/>
              <w:ind w:firstLine="420"/>
              <w:rPr>
                <w:rFonts w:hint="eastAsia"/>
                <w:color w:val="auto"/>
                <w:szCs w:val="32"/>
                <w:highlight w:val="none"/>
              </w:rPr>
            </w:pPr>
            <w:r>
              <w:rPr>
                <w:rFonts w:hint="eastAsia"/>
                <w:color w:val="auto"/>
                <w:szCs w:val="32"/>
                <w:highlight w:val="none"/>
              </w:rPr>
              <w:t>为预防施工区传染病的流行，在施工人员进驻工地前，各施工单位应对施工人员进行全面的健康调查和疫情建档，健康人员才能进入施工区作业。</w:t>
            </w:r>
          </w:p>
          <w:p w14:paraId="0925B64A">
            <w:pPr>
              <w:pStyle w:val="56"/>
              <w:ind w:firstLine="420"/>
              <w:rPr>
                <w:rFonts w:hint="eastAsia"/>
                <w:color w:val="auto"/>
                <w:szCs w:val="32"/>
                <w:highlight w:val="none"/>
              </w:rPr>
            </w:pPr>
            <w:r>
              <w:rPr>
                <w:rFonts w:hint="eastAsia"/>
                <w:color w:val="auto"/>
                <w:szCs w:val="32"/>
                <w:highlight w:val="none"/>
              </w:rPr>
              <w:t>调查和建档内容主要包括年龄、性别、健康状况、传染病史、来自的地区等。普查项目为：肺结核、传染性肝炎、痢疾、新冠肺炎等，外来施工人员还应检查来源地传染病等。</w:t>
            </w:r>
          </w:p>
          <w:p w14:paraId="569027E1">
            <w:pPr>
              <w:pStyle w:val="56"/>
              <w:ind w:firstLine="420"/>
              <w:rPr>
                <w:rFonts w:hint="eastAsia"/>
                <w:color w:val="auto"/>
                <w:szCs w:val="32"/>
                <w:highlight w:val="none"/>
              </w:rPr>
            </w:pPr>
            <w:r>
              <w:rPr>
                <w:rFonts w:hint="eastAsia"/>
                <w:color w:val="auto"/>
                <w:szCs w:val="32"/>
                <w:highlight w:val="none"/>
              </w:rPr>
              <w:t>2）疫情抽查及预防计划</w:t>
            </w:r>
          </w:p>
          <w:p w14:paraId="6498976B">
            <w:pPr>
              <w:pStyle w:val="56"/>
              <w:ind w:firstLine="420"/>
              <w:rPr>
                <w:rFonts w:hint="eastAsia"/>
                <w:color w:val="auto"/>
                <w:szCs w:val="32"/>
                <w:highlight w:val="none"/>
              </w:rPr>
            </w:pPr>
            <w:r>
              <w:rPr>
                <w:rFonts w:hint="eastAsia"/>
                <w:color w:val="auto"/>
                <w:szCs w:val="32"/>
                <w:highlight w:val="none"/>
              </w:rPr>
              <w:t>在施工期内，根据疫情普查情况定期进行疫情抽样检疫。疫情抽查的内容主要为当地易发的肝炎、痢疾等消化道传染病、肺结核等呼吸道疾病以及其它疫情普查中常见的传染病，发现病情并及时进行治疗。</w:t>
            </w:r>
          </w:p>
          <w:p w14:paraId="6CF240DC">
            <w:pPr>
              <w:pStyle w:val="56"/>
              <w:ind w:firstLine="420"/>
              <w:rPr>
                <w:rFonts w:hint="eastAsia"/>
                <w:color w:val="auto"/>
                <w:szCs w:val="32"/>
                <w:highlight w:val="none"/>
              </w:rPr>
            </w:pPr>
            <w:r>
              <w:rPr>
                <w:rFonts w:hint="eastAsia"/>
                <w:color w:val="auto"/>
                <w:szCs w:val="32"/>
                <w:highlight w:val="none"/>
              </w:rPr>
              <w:t>为有效预防现场流行疾病，提高施工人员的抗病能力，定期对施工人群采取预防性服药、疫苗接种等预防措施。</w:t>
            </w:r>
          </w:p>
          <w:p w14:paraId="5C20EF72">
            <w:pPr>
              <w:pStyle w:val="56"/>
              <w:ind w:firstLine="420"/>
              <w:rPr>
                <w:rFonts w:hint="eastAsia"/>
                <w:color w:val="auto"/>
                <w:szCs w:val="32"/>
                <w:highlight w:val="none"/>
              </w:rPr>
            </w:pPr>
            <w:r>
              <w:rPr>
                <w:rFonts w:hint="eastAsia"/>
                <w:color w:val="auto"/>
                <w:szCs w:val="32"/>
                <w:highlight w:val="none"/>
              </w:rPr>
              <w:t>3）疫情监控和应急措施</w:t>
            </w:r>
          </w:p>
          <w:p w14:paraId="6E8036A5">
            <w:pPr>
              <w:pStyle w:val="56"/>
              <w:ind w:firstLine="420"/>
              <w:rPr>
                <w:rFonts w:hint="eastAsia"/>
                <w:color w:val="auto"/>
                <w:szCs w:val="32"/>
                <w:highlight w:val="none"/>
              </w:rPr>
            </w:pPr>
            <w:r>
              <w:rPr>
                <w:rFonts w:hint="eastAsia"/>
                <w:color w:val="auto"/>
                <w:szCs w:val="32"/>
                <w:highlight w:val="none"/>
              </w:rPr>
              <w:t>施工单位应明确卫生防疫责任人，按当地卫生部门制订的疫情管理制度及报送制度进行管理，并接受当地卫生部门的监督。</w:t>
            </w:r>
          </w:p>
          <w:p w14:paraId="6F178555">
            <w:pPr>
              <w:pStyle w:val="56"/>
              <w:ind w:firstLine="420"/>
              <w:rPr>
                <w:rFonts w:hint="eastAsia"/>
                <w:color w:val="FF0000"/>
                <w:szCs w:val="32"/>
                <w:highlight w:val="none"/>
              </w:rPr>
            </w:pPr>
            <w:r>
              <w:rPr>
                <w:rFonts w:hint="eastAsia"/>
                <w:color w:val="auto"/>
                <w:szCs w:val="32"/>
                <w:highlight w:val="none"/>
              </w:rPr>
              <w:t>施工期应设立疫情监控站，随时备用痢疾、肝炎、肺结核等常见传染病的处理药品和器材。一旦发现疫情，立即对传染源采取治疗、隔离、观察等措施，对易感人群采取预防措施，并及时上报卫生防疫主管部门。</w:t>
            </w:r>
          </w:p>
          <w:p w14:paraId="5550DBC0">
            <w:pPr>
              <w:pStyle w:val="56"/>
              <w:ind w:firstLine="420"/>
              <w:rPr>
                <w:color w:val="auto"/>
                <w:szCs w:val="32"/>
                <w:highlight w:val="none"/>
              </w:rPr>
            </w:pPr>
            <w:r>
              <w:rPr>
                <w:rFonts w:hint="eastAsia"/>
                <w:color w:val="auto"/>
                <w:szCs w:val="32"/>
                <w:highlight w:val="none"/>
              </w:rPr>
              <w:t>7、施工全过程监理</w:t>
            </w:r>
          </w:p>
          <w:p w14:paraId="62BBFDB8">
            <w:pPr>
              <w:pStyle w:val="56"/>
              <w:ind w:firstLine="420"/>
              <w:rPr>
                <w:color w:val="auto"/>
                <w:szCs w:val="32"/>
                <w:highlight w:val="none"/>
              </w:rPr>
            </w:pPr>
            <w:r>
              <w:rPr>
                <w:rFonts w:hint="eastAsia"/>
                <w:color w:val="auto"/>
                <w:szCs w:val="32"/>
                <w:highlight w:val="none"/>
              </w:rPr>
              <w:t>施工全过程监理人员应对施工活动中的环境保护工作按照施工进程实施动态管理。环境保护监理的主要内容是监理项目工程的施工过程应符合环保要求，如噪声、废气、废水、固体废物等污染物排放应达标、减少水土流失和生态环境破坏。工程环境监理的工作方式以日常巡视检查为主，辅以必要的环境监测，以便及时调整环保监控力度。</w:t>
            </w:r>
          </w:p>
          <w:p w14:paraId="610169C3">
            <w:pPr>
              <w:pStyle w:val="56"/>
              <w:ind w:firstLine="420"/>
              <w:rPr>
                <w:color w:val="FF0000"/>
                <w:highlight w:val="none"/>
              </w:rPr>
            </w:pPr>
            <w:r>
              <w:rPr>
                <w:color w:val="auto"/>
                <w:szCs w:val="32"/>
                <w:highlight w:val="none"/>
              </w:rPr>
              <w:t>综上所述，本项目生态环境影响主要来自施工期。通过上述分析，施工期施工建设对生态环境影响不大。通过采取相应的生态保护和</w:t>
            </w:r>
            <w:r>
              <w:rPr>
                <w:rFonts w:hint="eastAsia"/>
                <w:color w:val="auto"/>
                <w:szCs w:val="32"/>
                <w:highlight w:val="none"/>
              </w:rPr>
              <w:t>生态</w:t>
            </w:r>
            <w:r>
              <w:rPr>
                <w:color w:val="auto"/>
                <w:szCs w:val="32"/>
                <w:highlight w:val="none"/>
              </w:rPr>
              <w:t>恢复措施，本项目建设对生态环境的影响是可接受的。</w:t>
            </w:r>
          </w:p>
        </w:tc>
      </w:tr>
      <w:tr w14:paraId="0C290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tcMar>
              <w:left w:w="28" w:type="dxa"/>
              <w:right w:w="28" w:type="dxa"/>
            </w:tcMar>
            <w:vAlign w:val="center"/>
          </w:tcPr>
          <w:p w14:paraId="466AE0F9">
            <w:pPr>
              <w:adjustRightInd w:val="0"/>
              <w:snapToGrid w:val="0"/>
              <w:jc w:val="center"/>
              <w:rPr>
                <w:bCs/>
                <w:color w:val="FF0000"/>
                <w:spacing w:val="10"/>
                <w:szCs w:val="21"/>
                <w:highlight w:val="none"/>
              </w:rPr>
            </w:pPr>
            <w:r>
              <w:rPr>
                <w:bCs/>
                <w:color w:val="auto"/>
                <w:spacing w:val="10"/>
                <w:szCs w:val="21"/>
                <w:highlight w:val="none"/>
              </w:rPr>
              <w:t>运营期生态环境保护措施</w:t>
            </w:r>
          </w:p>
        </w:tc>
        <w:tc>
          <w:tcPr>
            <w:tcW w:w="0" w:type="auto"/>
          </w:tcPr>
          <w:p w14:paraId="0D45965D">
            <w:pPr>
              <w:pStyle w:val="56"/>
              <w:ind w:firstLine="420"/>
              <w:rPr>
                <w:color w:val="auto"/>
                <w:highlight w:val="none"/>
              </w:rPr>
            </w:pPr>
            <w:r>
              <w:rPr>
                <w:rFonts w:hint="eastAsia"/>
                <w:color w:val="auto"/>
                <w:highlight w:val="none"/>
              </w:rPr>
              <w:t>本项目属于防洪工程，运营期无废水、废气、噪声、固体废物排放，本项目属于基础设施项目。根据现场调查及查阅资料，项目周边无学校、居民区、医院、办公楼等环境敏感目标。</w:t>
            </w:r>
          </w:p>
          <w:p w14:paraId="4539608E">
            <w:pPr>
              <w:pStyle w:val="56"/>
              <w:ind w:firstLine="420"/>
              <w:rPr>
                <w:color w:val="auto"/>
                <w:highlight w:val="none"/>
              </w:rPr>
            </w:pPr>
            <w:r>
              <w:rPr>
                <w:rFonts w:hint="eastAsia"/>
                <w:color w:val="auto"/>
                <w:highlight w:val="none"/>
              </w:rPr>
              <w:t>运营期应定期巡查、检修。堤防、护坡等出现破损时，及时上报修复。</w:t>
            </w:r>
          </w:p>
          <w:p w14:paraId="5C47506D">
            <w:pPr>
              <w:pStyle w:val="56"/>
              <w:ind w:firstLine="420"/>
              <w:rPr>
                <w:color w:val="auto"/>
                <w:highlight w:val="none"/>
              </w:rPr>
            </w:pPr>
            <w:r>
              <w:rPr>
                <w:rFonts w:hint="eastAsia"/>
                <w:color w:val="auto"/>
                <w:highlight w:val="none"/>
              </w:rPr>
              <w:t>工程完成后改善的景观，营造适宜生境对野生动物种群数量，改善当地的生物多样性。应定期进行野生动物调查监测，了解动物种群变动情况，需要时采取一定的保护措施。</w:t>
            </w:r>
          </w:p>
          <w:p w14:paraId="36E542BC">
            <w:pPr>
              <w:pStyle w:val="56"/>
              <w:ind w:firstLine="420"/>
              <w:rPr>
                <w:color w:val="auto"/>
                <w:highlight w:val="none"/>
              </w:rPr>
            </w:pPr>
            <w:r>
              <w:rPr>
                <w:rFonts w:hint="eastAsia"/>
                <w:color w:val="auto"/>
                <w:highlight w:val="none"/>
              </w:rPr>
              <w:t>另外对评价区范围内的动物种类、数量及其觅食、迁徙、繁殖等活动规律进行监测，评估工程实施对野生动物的影响，如动物种类数量稳定、未受到显著干扰，则认为工程对野生动物没有不良的影响。</w:t>
            </w:r>
          </w:p>
          <w:p w14:paraId="53A89F04">
            <w:pPr>
              <w:pStyle w:val="56"/>
              <w:ind w:firstLine="420"/>
              <w:rPr>
                <w:color w:val="auto"/>
                <w:highlight w:val="none"/>
              </w:rPr>
            </w:pPr>
            <w:r>
              <w:rPr>
                <w:color w:val="auto"/>
                <w:highlight w:val="none"/>
              </w:rPr>
              <w:t>环境管理与监测计划</w:t>
            </w:r>
            <w:r>
              <w:rPr>
                <w:rFonts w:hint="eastAsia"/>
                <w:color w:val="auto"/>
                <w:highlight w:val="none"/>
              </w:rPr>
              <w:t>：</w:t>
            </w:r>
          </w:p>
          <w:p w14:paraId="5E6AAC74">
            <w:pPr>
              <w:pStyle w:val="56"/>
              <w:ind w:firstLine="420"/>
              <w:rPr>
                <w:color w:val="auto"/>
                <w:highlight w:val="none"/>
              </w:rPr>
            </w:pPr>
            <w:r>
              <w:rPr>
                <w:rFonts w:hint="eastAsia"/>
                <w:color w:val="auto"/>
                <w:highlight w:val="none"/>
              </w:rPr>
              <w:t>（</w:t>
            </w:r>
            <w:r>
              <w:rPr>
                <w:color w:val="auto"/>
                <w:highlight w:val="none"/>
              </w:rPr>
              <w:t>1）环境管理机构</w:t>
            </w:r>
          </w:p>
          <w:p w14:paraId="04D41140">
            <w:pPr>
              <w:pStyle w:val="56"/>
              <w:ind w:firstLine="420"/>
              <w:rPr>
                <w:color w:val="auto"/>
                <w:highlight w:val="none"/>
              </w:rPr>
            </w:pPr>
            <w:r>
              <w:rPr>
                <w:rFonts w:hint="eastAsia"/>
                <w:color w:val="auto"/>
                <w:highlight w:val="none"/>
              </w:rPr>
              <w:t>根</w:t>
            </w:r>
            <w:r>
              <w:rPr>
                <w:color w:val="auto"/>
                <w:highlight w:val="none"/>
              </w:rPr>
              <w:t>据国家环境保护管理规定，本项目环境管理体系是由建设单位、环境监理单位、项目施工单位组成的环境管理办公室，该环境管理办公室业务上可委托设计单位进行指导。为保证各项环保措施的有效实施，工程环境管理办公室由建设单位在工程筹建期开始组建，作为一个单独的职能部门，配备专人进行工程的环境管理职责。</w:t>
            </w:r>
          </w:p>
          <w:p w14:paraId="7B6252C4">
            <w:pPr>
              <w:pStyle w:val="56"/>
              <w:ind w:firstLine="420"/>
              <w:rPr>
                <w:color w:val="auto"/>
                <w:highlight w:val="none"/>
              </w:rPr>
            </w:pPr>
            <w:r>
              <w:rPr>
                <w:rFonts w:hint="eastAsia"/>
                <w:color w:val="auto"/>
                <w:highlight w:val="none"/>
              </w:rPr>
              <w:t>在</w:t>
            </w:r>
            <w:r>
              <w:rPr>
                <w:color w:val="auto"/>
                <w:highlight w:val="none"/>
              </w:rPr>
              <w:t>这一管理体系中，首先强化施工单位的环境意识和环境管理。各施工单位应配备专职或兼职环保监管人员，这些人员应是经过培训、具备一定能力和资质的工程技术人员，并赋予相关的职责和权利，使其充分发挥一线环保监管职责。</w:t>
            </w:r>
          </w:p>
          <w:p w14:paraId="062F0D52">
            <w:pPr>
              <w:pStyle w:val="56"/>
              <w:ind w:firstLine="420"/>
              <w:rPr>
                <w:color w:val="auto"/>
                <w:highlight w:val="none"/>
              </w:rPr>
            </w:pPr>
            <w:r>
              <w:rPr>
                <w:rFonts w:hint="eastAsia"/>
                <w:color w:val="auto"/>
                <w:highlight w:val="none"/>
              </w:rPr>
              <w:t>环</w:t>
            </w:r>
            <w:r>
              <w:rPr>
                <w:color w:val="auto"/>
                <w:highlight w:val="none"/>
              </w:rPr>
              <w:t>境监理单位应审查施工单位的施工组织方案，核对施工合同中规定的各项环境保护条款的落实情况；对环境保护工程严把质量关，并将环境影响评价文件中有关环境保护管理要求作为监理工作的重要内容。</w:t>
            </w:r>
          </w:p>
          <w:p w14:paraId="7D894D33">
            <w:pPr>
              <w:pStyle w:val="56"/>
              <w:ind w:firstLine="420"/>
              <w:rPr>
                <w:color w:val="auto"/>
                <w:highlight w:val="none"/>
              </w:rPr>
            </w:pPr>
            <w:r>
              <w:rPr>
                <w:rFonts w:hint="eastAsia"/>
                <w:color w:val="auto"/>
                <w:highlight w:val="none"/>
              </w:rPr>
              <w:t>建</w:t>
            </w:r>
            <w:r>
              <w:rPr>
                <w:color w:val="auto"/>
                <w:highlight w:val="none"/>
              </w:rPr>
              <w:t>设单位是工程环境管理的责任主体，其主要职责贯彻执行国家环境保护法律、法规及技术标准，编制项目环境目标、环境宣传、环境管理方案和人员培训计划等；指导、检查督促各参建单位的环境保护工作，作好环境工作内部审查、管理环保文档等；把握全局，及时掌握工程各阶段环境保护动态，当出现重大环境问题或纠纷时，积极组织力量解决，并协助各施工单位处理好与地方环保部门、公众及利益相关各方的关系。</w:t>
            </w:r>
          </w:p>
          <w:p w14:paraId="3C3A9484">
            <w:pPr>
              <w:pStyle w:val="56"/>
              <w:ind w:firstLine="420"/>
              <w:rPr>
                <w:color w:val="auto"/>
                <w:highlight w:val="none"/>
              </w:rPr>
            </w:pPr>
            <w:r>
              <w:rPr>
                <w:rFonts w:hint="eastAsia"/>
                <w:color w:val="auto"/>
                <w:highlight w:val="none"/>
              </w:rPr>
              <w:t>（</w:t>
            </w:r>
            <w:r>
              <w:rPr>
                <w:color w:val="auto"/>
                <w:highlight w:val="none"/>
              </w:rPr>
              <w:t>2）环境管理任务</w:t>
            </w:r>
          </w:p>
          <w:p w14:paraId="4BD61B4B">
            <w:pPr>
              <w:pStyle w:val="56"/>
              <w:ind w:firstLine="420"/>
              <w:rPr>
                <w:color w:val="auto"/>
                <w:highlight w:val="none"/>
              </w:rPr>
            </w:pPr>
            <w:r>
              <w:rPr>
                <w:rFonts w:hint="eastAsia"/>
                <w:color w:val="auto"/>
                <w:highlight w:val="none"/>
              </w:rPr>
              <w:t>建</w:t>
            </w:r>
            <w:r>
              <w:rPr>
                <w:color w:val="auto"/>
                <w:highlight w:val="none"/>
              </w:rPr>
              <w:t>设单位环境管理机构：项目施工过程中，应与施工单位订立施工管理责任制，在施工期间不得往周围环境丢弃建筑废料，特别应注意保护区域植被。施工期生活污水严禁未经处理排入河流，按标准控制施工噪声，尤其是夜间噪声应严格控制；制定本工程施工期水、气、声、生态环境监测计划，并组织安排具体实施；负责施工场地的环境保护及卫生工作，做到垃圾及时清运，并尽量做到垃圾分类收集处置。监督检查环保工程、环保措施和要求的落实情况，保证各项工程施工按“三同时”的原则执行，当出现重大环境问题或纠纷时，积极组织力量协调，并协助各施工单位处理好与地方环保部门、公众及利益相关各方的关系。负责环境监测管理，委托具有相应资质的环境、卫生监测等专业部门实施环境监测计划，审定其监测计划，建立健全各项监测规章制度。</w:t>
            </w:r>
          </w:p>
          <w:p w14:paraId="24E50DFF">
            <w:pPr>
              <w:pStyle w:val="56"/>
              <w:ind w:firstLine="420"/>
              <w:rPr>
                <w:color w:val="auto"/>
                <w:highlight w:val="none"/>
              </w:rPr>
            </w:pPr>
            <w:r>
              <w:rPr>
                <w:rFonts w:hint="eastAsia"/>
                <w:color w:val="auto"/>
                <w:highlight w:val="none"/>
              </w:rPr>
              <w:t>环</w:t>
            </w:r>
            <w:r>
              <w:rPr>
                <w:color w:val="auto"/>
                <w:highlight w:val="none"/>
              </w:rPr>
              <w:t>境监理单位：确保批准的环境影响评价文件中各项环保措施的实施，把工程建设引起的环境影响控制在国家法律、法规、标准规定的范围内。督促施工单位制定健全的环境保护管理组织体系和管理办法，检查环保措施及管理要求的执行情况和记录。审查施工单位的施工组织设计，对环境保护工程严把质量关，对不符合环保要求者不予计量和支付签证。设立投诉电话，妥善处理公众环境投诉。向建设单位提交环境监理月报、季报等监理报告。</w:t>
            </w:r>
          </w:p>
          <w:p w14:paraId="006E89A2">
            <w:pPr>
              <w:pStyle w:val="56"/>
              <w:ind w:firstLine="420"/>
              <w:rPr>
                <w:color w:val="auto"/>
                <w:highlight w:val="none"/>
              </w:rPr>
            </w:pPr>
            <w:r>
              <w:rPr>
                <w:rFonts w:hint="eastAsia"/>
                <w:color w:val="auto"/>
                <w:highlight w:val="none"/>
              </w:rPr>
              <w:t>施</w:t>
            </w:r>
            <w:r>
              <w:rPr>
                <w:color w:val="auto"/>
                <w:highlight w:val="none"/>
              </w:rPr>
              <w:t>工单位环境管理机构：参与工程建设的各有关施工单位内部应视具体情况，建立相应的环境保护机构，或指定专门人员负责本单位施工过程中的环境保护工作。</w:t>
            </w:r>
          </w:p>
          <w:p w14:paraId="488DFCBE">
            <w:pPr>
              <w:pStyle w:val="56"/>
              <w:ind w:firstLine="420"/>
              <w:rPr>
                <w:color w:val="auto"/>
                <w:highlight w:val="none"/>
              </w:rPr>
            </w:pPr>
            <w:r>
              <w:rPr>
                <w:color w:val="auto"/>
                <w:highlight w:val="none"/>
              </w:rPr>
              <w:t>（</w:t>
            </w:r>
            <w:r>
              <w:rPr>
                <w:rFonts w:hint="eastAsia"/>
                <w:color w:val="auto"/>
                <w:highlight w:val="none"/>
                <w:lang w:val="en-US" w:eastAsia="zh-CN"/>
              </w:rPr>
              <w:t>3</w:t>
            </w:r>
            <w:r>
              <w:rPr>
                <w:color w:val="auto"/>
                <w:highlight w:val="none"/>
              </w:rPr>
              <w:t>）监测计划</w:t>
            </w:r>
          </w:p>
          <w:p w14:paraId="2216B606">
            <w:pPr>
              <w:pStyle w:val="56"/>
              <w:ind w:firstLine="420"/>
              <w:rPr>
                <w:rFonts w:hint="eastAsia"/>
                <w:color w:val="auto"/>
                <w:highlight w:val="none"/>
              </w:rPr>
            </w:pPr>
            <w:r>
              <w:rPr>
                <w:rFonts w:hint="eastAsia"/>
                <w:color w:val="auto"/>
                <w:highlight w:val="none"/>
              </w:rPr>
              <w:t>本工程属于非污染项目，因此环境监测重点放在施工期。施工期间监测对象为乌苏里江干流饶河段地表水体、声环境、大气环境等。监测任务可委托有资质的环境监测部门承担，监测数据经过审查、校核后，整理编印，报给双鸭山市饶河生态环境局。</w:t>
            </w:r>
          </w:p>
          <w:p w14:paraId="6C36A6A6">
            <w:pPr>
              <w:pStyle w:val="56"/>
              <w:ind w:firstLine="420"/>
              <w:rPr>
                <w:color w:val="auto"/>
                <w:highlight w:val="none"/>
              </w:rPr>
            </w:pPr>
            <w:r>
              <w:rPr>
                <w:rFonts w:hint="eastAsia"/>
                <w:color w:val="auto"/>
                <w:highlight w:val="none"/>
              </w:rPr>
              <w:t>参考</w:t>
            </w:r>
            <w:r>
              <w:rPr>
                <w:color w:val="auto"/>
                <w:highlight w:val="none"/>
              </w:rPr>
              <w:t>《排污单位自行监测技术指南 总则》（HJ819-2017）要求，确定本项目</w:t>
            </w:r>
            <w:r>
              <w:rPr>
                <w:rFonts w:hint="eastAsia"/>
                <w:color w:val="auto"/>
                <w:highlight w:val="none"/>
              </w:rPr>
              <w:t>环境</w:t>
            </w:r>
            <w:r>
              <w:rPr>
                <w:color w:val="auto"/>
                <w:highlight w:val="none"/>
              </w:rPr>
              <w:t>监测计划，监测计划见</w:t>
            </w:r>
            <w:r>
              <w:rPr>
                <w:rFonts w:hint="eastAsia"/>
                <w:color w:val="auto"/>
                <w:highlight w:val="none"/>
              </w:rPr>
              <w:t>下表</w:t>
            </w:r>
            <w:r>
              <w:rPr>
                <w:color w:val="auto"/>
                <w:highlight w:val="none"/>
              </w:rPr>
              <w:t>。</w:t>
            </w:r>
          </w:p>
          <w:p w14:paraId="07A41CFA">
            <w:pPr>
              <w:pStyle w:val="55"/>
              <w:rPr>
                <w:color w:val="auto"/>
                <w:highlight w:val="none"/>
              </w:rPr>
            </w:pPr>
            <w:r>
              <w:rPr>
                <w:color w:val="auto"/>
                <w:highlight w:val="none"/>
              </w:rPr>
              <w:t>表5-</w:t>
            </w:r>
            <w:r>
              <w:rPr>
                <w:rFonts w:hint="eastAsia"/>
                <w:color w:val="auto"/>
                <w:highlight w:val="none"/>
                <w:lang w:val="en-US" w:eastAsia="zh-CN"/>
              </w:rPr>
              <w:t>2</w:t>
            </w:r>
            <w:r>
              <w:rPr>
                <w:color w:val="auto"/>
                <w:highlight w:val="none"/>
              </w:rPr>
              <w:t xml:space="preserve"> 环境监测计划</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29"/>
              <w:gridCol w:w="807"/>
              <w:gridCol w:w="1250"/>
              <w:gridCol w:w="1705"/>
              <w:gridCol w:w="1441"/>
              <w:gridCol w:w="1676"/>
            </w:tblGrid>
            <w:tr w14:paraId="19CF1C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419" w:type="pct"/>
                  <w:vAlign w:val="center"/>
                </w:tcPr>
                <w:p w14:paraId="3DF8613C">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项目</w:t>
                  </w:r>
                </w:p>
              </w:tc>
              <w:tc>
                <w:tcPr>
                  <w:tcW w:w="537" w:type="pct"/>
                  <w:vAlign w:val="center"/>
                </w:tcPr>
                <w:p w14:paraId="7CB72065">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eastAsia="zh-CN"/>
                    </w:rPr>
                    <w:t>污染源</w:t>
                  </w:r>
                </w:p>
              </w:tc>
              <w:tc>
                <w:tcPr>
                  <w:tcW w:w="832" w:type="pct"/>
                  <w:vAlign w:val="center"/>
                </w:tcPr>
                <w:p w14:paraId="1862CE96">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监测项目</w:t>
                  </w:r>
                </w:p>
              </w:tc>
              <w:tc>
                <w:tcPr>
                  <w:tcW w:w="1135" w:type="pct"/>
                  <w:vAlign w:val="center"/>
                </w:tcPr>
                <w:p w14:paraId="219C08C4">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监测点</w:t>
                  </w:r>
                </w:p>
              </w:tc>
              <w:tc>
                <w:tcPr>
                  <w:tcW w:w="959" w:type="pct"/>
                  <w:vAlign w:val="center"/>
                </w:tcPr>
                <w:p w14:paraId="7A090A7C">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监测时间及频率</w:t>
                  </w:r>
                </w:p>
              </w:tc>
              <w:tc>
                <w:tcPr>
                  <w:tcW w:w="1116" w:type="pct"/>
                  <w:vAlign w:val="center"/>
                </w:tcPr>
                <w:p w14:paraId="47E43B98">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采样分析方法</w:t>
                  </w:r>
                </w:p>
              </w:tc>
            </w:tr>
            <w:tr w14:paraId="788B4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39850BA7">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大气环境</w:t>
                  </w:r>
                </w:p>
              </w:tc>
              <w:tc>
                <w:tcPr>
                  <w:tcW w:w="537" w:type="pct"/>
                  <w:vAlign w:val="center"/>
                </w:tcPr>
                <w:p w14:paraId="401CE580">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扬尘</w:t>
                  </w:r>
                </w:p>
              </w:tc>
              <w:tc>
                <w:tcPr>
                  <w:tcW w:w="832" w:type="pct"/>
                  <w:vAlign w:val="center"/>
                </w:tcPr>
                <w:p w14:paraId="2F9D458E">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TSP</w:t>
                  </w:r>
                </w:p>
              </w:tc>
              <w:tc>
                <w:tcPr>
                  <w:tcW w:w="1135" w:type="pct"/>
                  <w:vAlign w:val="center"/>
                </w:tcPr>
                <w:p w14:paraId="3F821B33">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在工程涉及的黑龙江饶河东北黑蜂国家级自然保护区、黑龙江饶河乌苏里江国家湿地公园和饶河县生态保护红线设置1处点位</w:t>
                  </w:r>
                </w:p>
              </w:tc>
              <w:tc>
                <w:tcPr>
                  <w:tcW w:w="959" w:type="pct"/>
                  <w:vAlign w:val="center"/>
                </w:tcPr>
                <w:p w14:paraId="7D5A395B">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rPr>
                    <w:t>施工高峰期监测1次，每次连续3天，每天监测4次</w:t>
                  </w:r>
                </w:p>
              </w:tc>
              <w:tc>
                <w:tcPr>
                  <w:tcW w:w="1116" w:type="pct"/>
                  <w:vAlign w:val="center"/>
                </w:tcPr>
                <w:p w14:paraId="0957635B">
                  <w:pPr>
                    <w:pStyle w:val="51"/>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参照《环境空气 总悬浮颗粒物的测定 重量法》（HJ 1263-2022）及修改单</w:t>
                  </w:r>
                </w:p>
              </w:tc>
            </w:tr>
            <w:tr w14:paraId="44E67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1147682C">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水环境</w:t>
                  </w:r>
                </w:p>
              </w:tc>
              <w:tc>
                <w:tcPr>
                  <w:tcW w:w="537" w:type="pct"/>
                  <w:vAlign w:val="center"/>
                </w:tcPr>
                <w:p w14:paraId="7B7414F5">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废水</w:t>
                  </w:r>
                </w:p>
              </w:tc>
              <w:tc>
                <w:tcPr>
                  <w:tcW w:w="832" w:type="pct"/>
                  <w:vAlign w:val="center"/>
                </w:tcPr>
                <w:p w14:paraId="2F54E4F4">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pH、悬浮物、氨氮、化学需氧量、粪大肠菌群、石油类等共6项</w:t>
                  </w:r>
                </w:p>
              </w:tc>
              <w:tc>
                <w:tcPr>
                  <w:tcW w:w="1135" w:type="pct"/>
                  <w:vAlign w:val="center"/>
                </w:tcPr>
                <w:p w14:paraId="66E0387C">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在工程上游500m、下游1000m共布设2处监测断面</w:t>
                  </w:r>
                </w:p>
              </w:tc>
              <w:tc>
                <w:tcPr>
                  <w:tcW w:w="959" w:type="pct"/>
                  <w:vAlign w:val="center"/>
                </w:tcPr>
                <w:p w14:paraId="42E3D0B4">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rPr>
                    <w:t>施工期监测1次，每次连续监测3天，每天监测1次</w:t>
                  </w:r>
                </w:p>
              </w:tc>
              <w:tc>
                <w:tcPr>
                  <w:tcW w:w="1116" w:type="pct"/>
                  <w:vAlign w:val="center"/>
                </w:tcPr>
                <w:p w14:paraId="38CA5332">
                  <w:pPr>
                    <w:pStyle w:val="51"/>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参考《地表水环境质量标准》（GB3838-2002）Ⅲ类</w:t>
                  </w:r>
                  <w:r>
                    <w:rPr>
                      <w:rFonts w:hint="default" w:ascii="Times New Roman" w:hAnsi="Times New Roman" w:cs="Times New Roman"/>
                      <w:color w:val="auto"/>
                      <w:sz w:val="18"/>
                      <w:szCs w:val="18"/>
                      <w:highlight w:val="none"/>
                      <w:lang w:eastAsia="zh-CN"/>
                    </w:rPr>
                    <w:t>、《环境监测技术规范》</w:t>
                  </w:r>
                </w:p>
              </w:tc>
            </w:tr>
            <w:tr w14:paraId="1A3EE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59278098">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声环境</w:t>
                  </w:r>
                </w:p>
              </w:tc>
              <w:tc>
                <w:tcPr>
                  <w:tcW w:w="537" w:type="pct"/>
                  <w:vAlign w:val="center"/>
                </w:tcPr>
                <w:p w14:paraId="5B7D385C">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施工设备噪声</w:t>
                  </w:r>
                </w:p>
              </w:tc>
              <w:tc>
                <w:tcPr>
                  <w:tcW w:w="832" w:type="pct"/>
                  <w:vAlign w:val="center"/>
                </w:tcPr>
                <w:p w14:paraId="6DE805E6">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昼夜噪声等效</w:t>
                  </w:r>
                </w:p>
                <w:p w14:paraId="793738A5">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A声级</w:t>
                  </w:r>
                </w:p>
              </w:tc>
              <w:tc>
                <w:tcPr>
                  <w:tcW w:w="1135" w:type="pct"/>
                  <w:vAlign w:val="center"/>
                </w:tcPr>
                <w:p w14:paraId="568507F4">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rPr>
                    <w:t>在工程涉及的黑龙江饶河东北黑蜂国家级自然保护区、黑龙江饶河乌苏里江国家湿地公园和饶河县生态保护红线设置1处点位</w:t>
                  </w:r>
                </w:p>
              </w:tc>
              <w:tc>
                <w:tcPr>
                  <w:tcW w:w="959" w:type="pct"/>
                  <w:vAlign w:val="center"/>
                </w:tcPr>
                <w:p w14:paraId="2FEABBAB">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施工高峰期监测1次，每次连续2天，每天昼夜各1次</w:t>
                  </w:r>
                </w:p>
              </w:tc>
              <w:tc>
                <w:tcPr>
                  <w:tcW w:w="1116" w:type="pct"/>
                  <w:vAlign w:val="center"/>
                </w:tcPr>
                <w:p w14:paraId="5B2E4CA3">
                  <w:pPr>
                    <w:pStyle w:val="51"/>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参照《声环境质量标准》（GB3096-2008）中附录B</w:t>
                  </w:r>
                </w:p>
              </w:tc>
            </w:tr>
            <w:tr w14:paraId="63844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689BC888">
                  <w:pPr>
                    <w:pStyle w:val="51"/>
                    <w:rPr>
                      <w:rFonts w:hint="default" w:ascii="Times New Roman" w:hAnsi="Times New Roman" w:cs="Times New Roman"/>
                      <w:color w:val="auto"/>
                      <w:sz w:val="18"/>
                      <w:szCs w:val="18"/>
                      <w:highlight w:val="none"/>
                      <w:lang w:val="zh-CN"/>
                    </w:rPr>
                  </w:pPr>
                  <w:r>
                    <w:rPr>
                      <w:color w:val="auto"/>
                      <w:highlight w:val="none"/>
                    </w:rPr>
                    <w:t>陆生生态</w:t>
                  </w:r>
                </w:p>
              </w:tc>
              <w:tc>
                <w:tcPr>
                  <w:tcW w:w="537" w:type="pct"/>
                  <w:vAlign w:val="center"/>
                </w:tcPr>
                <w:p w14:paraId="49FC3778">
                  <w:pPr>
                    <w:pStyle w:val="51"/>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c>
                <w:tcPr>
                  <w:tcW w:w="832" w:type="pct"/>
                  <w:vAlign w:val="center"/>
                </w:tcPr>
                <w:p w14:paraId="6779F0C7">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对植被进行样方调查，同时对周边爬行类、两栖类及鸟类等野生动物进行观测记录。调查野生动物的分布及种群数量变化情况</w:t>
                  </w:r>
                </w:p>
              </w:tc>
              <w:tc>
                <w:tcPr>
                  <w:tcW w:w="1135" w:type="pct"/>
                  <w:vAlign w:val="center"/>
                </w:tcPr>
                <w:p w14:paraId="32982F6B">
                  <w:pPr>
                    <w:pStyle w:val="51"/>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在涉及自然保护区、国家湿地公园及生态保护红线区的工程设置1个调查点位</w:t>
                  </w:r>
                </w:p>
              </w:tc>
              <w:tc>
                <w:tcPr>
                  <w:tcW w:w="959" w:type="pct"/>
                  <w:vAlign w:val="center"/>
                </w:tcPr>
                <w:p w14:paraId="3176CECC">
                  <w:pPr>
                    <w:pStyle w:val="51"/>
                    <w:rPr>
                      <w:rFonts w:hint="default" w:ascii="Times New Roman" w:hAnsi="Times New Roman" w:cs="Times New Roman"/>
                      <w:color w:val="auto"/>
                      <w:sz w:val="18"/>
                      <w:szCs w:val="18"/>
                      <w:highlight w:val="none"/>
                      <w:lang w:val="zh-CN"/>
                    </w:rPr>
                  </w:pPr>
                  <w:r>
                    <w:rPr>
                      <w:color w:val="auto"/>
                      <w:highlight w:val="none"/>
                    </w:rPr>
                    <w:t>施工期调查1次</w:t>
                  </w:r>
                </w:p>
              </w:tc>
              <w:tc>
                <w:tcPr>
                  <w:tcW w:w="1116" w:type="pct"/>
                  <w:vAlign w:val="center"/>
                </w:tcPr>
                <w:p w14:paraId="688A9DF9">
                  <w:pPr>
                    <w:pStyle w:val="51"/>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r>
            <w:tr w14:paraId="6BA1C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4F3D3C19">
                  <w:pPr>
                    <w:pStyle w:val="51"/>
                    <w:rPr>
                      <w:rFonts w:hint="default" w:ascii="Times New Roman" w:hAnsi="Times New Roman" w:cs="Times New Roman"/>
                      <w:color w:val="auto"/>
                      <w:sz w:val="18"/>
                      <w:szCs w:val="18"/>
                      <w:highlight w:val="none"/>
                      <w:lang w:val="zh-CN"/>
                    </w:rPr>
                  </w:pPr>
                  <w:r>
                    <w:rPr>
                      <w:color w:val="auto"/>
                      <w:highlight w:val="none"/>
                    </w:rPr>
                    <w:t>水生生态</w:t>
                  </w:r>
                </w:p>
              </w:tc>
              <w:tc>
                <w:tcPr>
                  <w:tcW w:w="537" w:type="pct"/>
                  <w:vAlign w:val="center"/>
                </w:tcPr>
                <w:p w14:paraId="1FAAA849">
                  <w:pPr>
                    <w:pStyle w:val="51"/>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c>
                <w:tcPr>
                  <w:tcW w:w="832" w:type="pct"/>
                  <w:vAlign w:val="center"/>
                </w:tcPr>
                <w:p w14:paraId="487A858C">
                  <w:pPr>
                    <w:pStyle w:val="51"/>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1）水生生物监测，主要包括叶绿素a、浮游植物、浮游动物、底栖动物和水生维管束植物的种类和数量；2）鱼类种群监测，主要包括鱼类的种类组成、种群结构和鱼类资源量；3）鱼类产卵场和繁殖生态监测，主要包括鱼类组种类、资源量变化、时空分布、繁殖量、产卵场的水文要素条件</w:t>
                  </w:r>
                </w:p>
              </w:tc>
              <w:tc>
                <w:tcPr>
                  <w:tcW w:w="1135" w:type="pct"/>
                  <w:vAlign w:val="center"/>
                </w:tcPr>
                <w:p w14:paraId="54370320">
                  <w:pPr>
                    <w:pStyle w:val="51"/>
                    <w:rPr>
                      <w:rFonts w:hint="default" w:ascii="Times New Roman" w:hAnsi="Times New Roman" w:cs="Times New Roman"/>
                      <w:color w:val="auto"/>
                      <w:sz w:val="18"/>
                      <w:szCs w:val="18"/>
                      <w:highlight w:val="none"/>
                    </w:rPr>
                  </w:pPr>
                  <w:r>
                    <w:rPr>
                      <w:color w:val="auto"/>
                      <w:highlight w:val="none"/>
                    </w:rPr>
                    <w:t>在工程所在河段设置1个调查断面</w:t>
                  </w:r>
                </w:p>
              </w:tc>
              <w:tc>
                <w:tcPr>
                  <w:tcW w:w="959" w:type="pct"/>
                  <w:vAlign w:val="center"/>
                </w:tcPr>
                <w:p w14:paraId="561C26EB">
                  <w:pPr>
                    <w:pStyle w:val="51"/>
                    <w:rPr>
                      <w:rFonts w:hint="default" w:ascii="Times New Roman" w:hAnsi="Times New Roman" w:cs="Times New Roman"/>
                      <w:color w:val="auto"/>
                      <w:sz w:val="18"/>
                      <w:szCs w:val="18"/>
                      <w:highlight w:val="none"/>
                      <w:lang w:val="zh-CN"/>
                    </w:rPr>
                  </w:pPr>
                  <w:r>
                    <w:rPr>
                      <w:color w:val="auto"/>
                      <w:highlight w:val="none"/>
                    </w:rPr>
                    <w:t>施工期监测1次</w:t>
                  </w:r>
                </w:p>
              </w:tc>
              <w:tc>
                <w:tcPr>
                  <w:tcW w:w="1116" w:type="pct"/>
                  <w:vAlign w:val="center"/>
                </w:tcPr>
                <w:p w14:paraId="568F2968">
                  <w:pPr>
                    <w:pStyle w:val="51"/>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r>
          </w:tbl>
          <w:p w14:paraId="664DA16D">
            <w:pPr>
              <w:pStyle w:val="56"/>
              <w:ind w:firstLine="0" w:firstLineChars="0"/>
              <w:rPr>
                <w:color w:val="FF0000"/>
                <w:highlight w:val="none"/>
              </w:rPr>
            </w:pPr>
          </w:p>
        </w:tc>
      </w:tr>
      <w:tr w14:paraId="785A4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vAlign w:val="center"/>
          </w:tcPr>
          <w:p w14:paraId="1DB4F835">
            <w:pPr>
              <w:adjustRightInd w:val="0"/>
              <w:snapToGrid w:val="0"/>
              <w:jc w:val="center"/>
              <w:rPr>
                <w:bCs/>
                <w:color w:val="auto"/>
                <w:spacing w:val="10"/>
                <w:szCs w:val="21"/>
                <w:highlight w:val="none"/>
              </w:rPr>
            </w:pPr>
            <w:r>
              <w:rPr>
                <w:bCs/>
                <w:color w:val="auto"/>
                <w:szCs w:val="21"/>
                <w:highlight w:val="none"/>
              </w:rPr>
              <w:t>其他</w:t>
            </w:r>
          </w:p>
        </w:tc>
        <w:tc>
          <w:tcPr>
            <w:tcW w:w="0" w:type="auto"/>
            <w:vAlign w:val="center"/>
          </w:tcPr>
          <w:p w14:paraId="1D2A54FB">
            <w:pPr>
              <w:pStyle w:val="56"/>
              <w:ind w:firstLine="420"/>
              <w:rPr>
                <w:color w:val="auto"/>
                <w:highlight w:val="none"/>
              </w:rPr>
            </w:pPr>
            <w:r>
              <w:rPr>
                <w:color w:val="auto"/>
                <w:highlight w:val="none"/>
              </w:rPr>
              <w:t>加强本工程施工期的环境管理及施工监理工作。建立健全的环境管理机构和环境监理档案。承包商应明确承诺他们在施工过程中以及施工结束时的环境义务。</w:t>
            </w:r>
          </w:p>
          <w:p w14:paraId="42A2BDDB">
            <w:pPr>
              <w:pStyle w:val="56"/>
              <w:ind w:firstLine="420"/>
              <w:rPr>
                <w:color w:val="auto"/>
                <w:highlight w:val="none"/>
              </w:rPr>
            </w:pPr>
            <w:r>
              <w:rPr>
                <w:color w:val="auto"/>
                <w:highlight w:val="none"/>
              </w:rPr>
              <w:t>做好对施工人员环境保护宣传教育培训工作。施工单位在施工期间应认真贯彻环评报告表及其生态环境部门批复意见中所提的各项环境保护措施和要求，把环境保护工作真正落到实处。</w:t>
            </w:r>
          </w:p>
        </w:tc>
      </w:tr>
      <w:tr w14:paraId="5D5E0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3" w:hRule="atLeast"/>
          <w:jc w:val="center"/>
        </w:trPr>
        <w:tc>
          <w:tcPr>
            <w:tcW w:w="0" w:type="auto"/>
            <w:vAlign w:val="center"/>
          </w:tcPr>
          <w:p w14:paraId="3995FF0F">
            <w:pPr>
              <w:adjustRightInd w:val="0"/>
              <w:snapToGrid w:val="0"/>
              <w:jc w:val="center"/>
              <w:rPr>
                <w:bCs/>
                <w:color w:val="auto"/>
                <w:spacing w:val="10"/>
                <w:szCs w:val="21"/>
                <w:highlight w:val="none"/>
              </w:rPr>
            </w:pPr>
            <w:r>
              <w:rPr>
                <w:bCs/>
                <w:color w:val="auto"/>
                <w:szCs w:val="21"/>
                <w:highlight w:val="none"/>
              </w:rPr>
              <w:t>环保投资</w:t>
            </w:r>
          </w:p>
        </w:tc>
        <w:tc>
          <w:tcPr>
            <w:tcW w:w="0" w:type="auto"/>
            <w:vAlign w:val="center"/>
          </w:tcPr>
          <w:p w14:paraId="4A6156D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kern w:val="2"/>
                <w:sz w:val="21"/>
                <w:szCs w:val="24"/>
                <w:highlight w:val="none"/>
                <w:lang w:val="en-US" w:eastAsia="zh-CN" w:bidi="ar-SA"/>
              </w:rPr>
              <w:t>根据《水利水电工程环境保护设计规范》(SL492-2011)，依据《水利工程设计概（估）算编制规程—环境保护工程》水总〔2024〕323号</w:t>
            </w:r>
            <w:r>
              <w:rPr>
                <w:rFonts w:hint="eastAsia" w:ascii="Times New Roman" w:hAnsi="Times New Roman" w:eastAsia="宋体" w:cs="Times New Roman"/>
                <w:color w:val="auto"/>
                <w:kern w:val="2"/>
                <w:sz w:val="21"/>
                <w:szCs w:val="24"/>
                <w:highlight w:val="none"/>
                <w:lang w:val="en-US" w:eastAsia="zh-CN" w:bidi="ar-SA"/>
              </w:rPr>
              <w:t>、</w:t>
            </w:r>
            <w:r>
              <w:rPr>
                <w:rFonts w:ascii="Times New Roman" w:hAnsi="Times New Roman" w:eastAsia="宋体" w:cs="Times New Roman"/>
                <w:color w:val="auto"/>
                <w:kern w:val="2"/>
                <w:sz w:val="21"/>
                <w:szCs w:val="24"/>
                <w:highlight w:val="none"/>
                <w:lang w:val="en-US" w:eastAsia="zh-CN" w:bidi="ar-SA"/>
              </w:rPr>
              <w:t>《黑龙江省环境监测服务收费标准》（黑价联〔2014〕14号）及市场价格对本工程的环保投资进行了概算。本工程总投资</w:t>
            </w:r>
            <w:r>
              <w:rPr>
                <w:rFonts w:hint="eastAsia" w:ascii="Times New Roman" w:hAnsi="Times New Roman" w:eastAsia="宋体" w:cs="Times New Roman"/>
                <w:color w:val="auto"/>
                <w:kern w:val="2"/>
                <w:sz w:val="21"/>
                <w:szCs w:val="24"/>
                <w:highlight w:val="none"/>
                <w:lang w:val="en-US" w:eastAsia="zh-CN" w:bidi="ar-SA"/>
              </w:rPr>
              <w:t>819.99</w:t>
            </w:r>
            <w:r>
              <w:rPr>
                <w:rFonts w:ascii="Times New Roman" w:hAnsi="Times New Roman" w:eastAsia="宋体" w:cs="Times New Roman"/>
                <w:color w:val="auto"/>
                <w:kern w:val="2"/>
                <w:sz w:val="21"/>
                <w:szCs w:val="24"/>
                <w:highlight w:val="none"/>
                <w:lang w:val="en-US" w:eastAsia="zh-CN" w:bidi="ar-SA"/>
              </w:rPr>
              <w:t>万元，环保投资</w:t>
            </w:r>
            <w:r>
              <w:rPr>
                <w:rFonts w:hint="eastAsia" w:ascii="Times New Roman" w:hAnsi="Times New Roman" w:eastAsia="宋体" w:cs="Times New Roman"/>
                <w:color w:val="auto"/>
                <w:kern w:val="2"/>
                <w:sz w:val="21"/>
                <w:szCs w:val="24"/>
                <w:highlight w:val="none"/>
                <w:lang w:val="en-US" w:eastAsia="zh-CN" w:bidi="ar-SA"/>
              </w:rPr>
              <w:t>56.96</w:t>
            </w:r>
            <w:r>
              <w:rPr>
                <w:rFonts w:ascii="Times New Roman" w:hAnsi="Times New Roman" w:eastAsia="宋体" w:cs="Times New Roman"/>
                <w:color w:val="auto"/>
                <w:kern w:val="2"/>
                <w:sz w:val="21"/>
                <w:szCs w:val="24"/>
                <w:highlight w:val="none"/>
                <w:lang w:val="en-US" w:eastAsia="zh-CN" w:bidi="ar-SA"/>
              </w:rPr>
              <w:t>万元，环保投资占总投资的</w:t>
            </w:r>
            <w:r>
              <w:rPr>
                <w:rFonts w:hint="eastAsia" w:ascii="Times New Roman" w:hAnsi="Times New Roman" w:eastAsia="宋体" w:cs="Times New Roman"/>
                <w:color w:val="auto"/>
                <w:kern w:val="2"/>
                <w:sz w:val="21"/>
                <w:szCs w:val="24"/>
                <w:highlight w:val="none"/>
                <w:lang w:val="en-US" w:eastAsia="zh-CN" w:bidi="ar-SA"/>
              </w:rPr>
              <w:t>6.95</w:t>
            </w:r>
            <w:r>
              <w:rPr>
                <w:rFonts w:ascii="Times New Roman" w:hAnsi="Times New Roman" w:eastAsia="宋体" w:cs="Times New Roman"/>
                <w:color w:val="auto"/>
                <w:kern w:val="2"/>
                <w:sz w:val="21"/>
                <w:szCs w:val="24"/>
                <w:highlight w:val="none"/>
                <w:lang w:val="en-US" w:eastAsia="zh-CN" w:bidi="ar-SA"/>
              </w:rPr>
              <w:t>%。</w:t>
            </w:r>
          </w:p>
          <w:p w14:paraId="4A66B64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kern w:val="2"/>
                <w:sz w:val="21"/>
                <w:szCs w:val="24"/>
                <w:highlight w:val="none"/>
                <w:lang w:val="en-US" w:eastAsia="zh-CN" w:bidi="ar-SA"/>
              </w:rPr>
              <w:t>本项目环保投资具体情况见下表。</w:t>
            </w:r>
          </w:p>
          <w:p w14:paraId="616C3EE6">
            <w:pPr>
              <w:pStyle w:val="55"/>
              <w:rPr>
                <w:color w:val="auto"/>
                <w:highlight w:val="none"/>
              </w:rPr>
            </w:pPr>
            <w:r>
              <w:rPr>
                <w:color w:val="auto"/>
                <w:highlight w:val="none"/>
              </w:rPr>
              <w:t>表5-</w:t>
            </w:r>
            <w:r>
              <w:rPr>
                <w:rFonts w:hint="eastAsia"/>
                <w:color w:val="auto"/>
                <w:highlight w:val="none"/>
                <w:lang w:val="en-US" w:eastAsia="zh-CN"/>
              </w:rPr>
              <w:t>3</w:t>
            </w:r>
            <w:r>
              <w:rPr>
                <w:color w:val="auto"/>
                <w:highlight w:val="none"/>
              </w:rPr>
              <w:t xml:space="preserve"> 环保投资一览表</w:t>
            </w:r>
            <w:r>
              <w:rPr>
                <w:rFonts w:hint="eastAsia"/>
                <w:color w:val="auto"/>
                <w:highlight w:val="none"/>
              </w:rPr>
              <w:t>（</w:t>
            </w:r>
            <w:r>
              <w:rPr>
                <w:rFonts w:hint="eastAsia"/>
                <w:color w:val="auto"/>
                <w:highlight w:val="none"/>
                <w:lang w:val="en-US" w:eastAsia="zh-CN"/>
              </w:rPr>
              <w:t>不</w:t>
            </w:r>
            <w:r>
              <w:rPr>
                <w:rFonts w:hint="eastAsia"/>
                <w:color w:val="auto"/>
                <w:highlight w:val="none"/>
              </w:rPr>
              <w:t>含水土流失防治投资）</w:t>
            </w:r>
          </w:p>
          <w:tbl>
            <w:tblPr>
              <w:tblStyle w:val="26"/>
              <w:tblW w:w="4997" w:type="pct"/>
              <w:tblInd w:w="1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957"/>
              <w:gridCol w:w="2609"/>
              <w:gridCol w:w="958"/>
              <w:gridCol w:w="958"/>
              <w:gridCol w:w="961"/>
              <w:gridCol w:w="1060"/>
            </w:tblGrid>
            <w:tr w14:paraId="784D9C0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555" w:hRule="atLeast"/>
              </w:trPr>
              <w:tc>
                <w:tcPr>
                  <w:tcW w:w="638" w:type="pct"/>
                  <w:tcBorders>
                    <w:tl2br w:val="nil"/>
                    <w:tr2bl w:val="nil"/>
                  </w:tcBorders>
                  <w:noWrap w:val="0"/>
                  <w:vAlign w:val="center"/>
                </w:tcPr>
                <w:p w14:paraId="2D5527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序号</w:t>
                  </w:r>
                </w:p>
              </w:tc>
              <w:tc>
                <w:tcPr>
                  <w:tcW w:w="1738" w:type="pct"/>
                  <w:tcBorders>
                    <w:tl2br w:val="nil"/>
                    <w:tr2bl w:val="nil"/>
                  </w:tcBorders>
                  <w:noWrap w:val="0"/>
                  <w:vAlign w:val="center"/>
                </w:tcPr>
                <w:p w14:paraId="04C98E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项目名称</w:t>
                  </w:r>
                </w:p>
              </w:tc>
              <w:tc>
                <w:tcPr>
                  <w:tcW w:w="638" w:type="pct"/>
                  <w:tcBorders>
                    <w:tl2br w:val="nil"/>
                    <w:tr2bl w:val="nil"/>
                  </w:tcBorders>
                  <w:noWrap w:val="0"/>
                  <w:vAlign w:val="center"/>
                </w:tcPr>
                <w:p w14:paraId="2B6996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单位</w:t>
                  </w:r>
                </w:p>
              </w:tc>
              <w:tc>
                <w:tcPr>
                  <w:tcW w:w="638" w:type="pct"/>
                  <w:tcBorders>
                    <w:tl2br w:val="nil"/>
                    <w:tr2bl w:val="nil"/>
                  </w:tcBorders>
                  <w:noWrap w:val="0"/>
                  <w:vAlign w:val="center"/>
                </w:tcPr>
                <w:p w14:paraId="7FF770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数量</w:t>
                  </w:r>
                </w:p>
              </w:tc>
              <w:tc>
                <w:tcPr>
                  <w:tcW w:w="638" w:type="pct"/>
                  <w:tcBorders>
                    <w:tl2br w:val="nil"/>
                    <w:tr2bl w:val="nil"/>
                  </w:tcBorders>
                  <w:noWrap w:val="0"/>
                  <w:vAlign w:val="center"/>
                </w:tcPr>
                <w:p w14:paraId="743D6A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单价（元）</w:t>
                  </w:r>
                </w:p>
              </w:tc>
              <w:tc>
                <w:tcPr>
                  <w:tcW w:w="706" w:type="pct"/>
                  <w:tcBorders>
                    <w:tl2br w:val="nil"/>
                    <w:tr2bl w:val="nil"/>
                  </w:tcBorders>
                  <w:noWrap w:val="0"/>
                  <w:vAlign w:val="center"/>
                </w:tcPr>
                <w:p w14:paraId="25B129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投资（万元）</w:t>
                  </w:r>
                </w:p>
              </w:tc>
            </w:tr>
            <w:tr w14:paraId="17555DA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78DCD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第一部分</w:t>
                  </w:r>
                </w:p>
              </w:tc>
              <w:tc>
                <w:tcPr>
                  <w:tcW w:w="1738" w:type="pct"/>
                  <w:tcBorders>
                    <w:tl2br w:val="nil"/>
                    <w:tr2bl w:val="nil"/>
                  </w:tcBorders>
                  <w:noWrap w:val="0"/>
                  <w:vAlign w:val="center"/>
                </w:tcPr>
                <w:p w14:paraId="7D2819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环境保护措施</w:t>
                  </w:r>
                </w:p>
              </w:tc>
              <w:tc>
                <w:tcPr>
                  <w:tcW w:w="638" w:type="pct"/>
                  <w:tcBorders>
                    <w:tl2br w:val="nil"/>
                    <w:tr2bl w:val="nil"/>
                  </w:tcBorders>
                  <w:noWrap w:val="0"/>
                  <w:vAlign w:val="center"/>
                </w:tcPr>
                <w:p w14:paraId="78A000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9F4E5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53C0FA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549941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2.18</w:t>
                  </w:r>
                </w:p>
              </w:tc>
            </w:tr>
            <w:tr w14:paraId="364FEDC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D9ABE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一</w:t>
                  </w:r>
                </w:p>
              </w:tc>
              <w:tc>
                <w:tcPr>
                  <w:tcW w:w="1738" w:type="pct"/>
                  <w:tcBorders>
                    <w:tl2br w:val="nil"/>
                    <w:tr2bl w:val="nil"/>
                  </w:tcBorders>
                  <w:noWrap w:val="0"/>
                  <w:vAlign w:val="center"/>
                </w:tcPr>
                <w:p w14:paraId="27B500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生态保护措施</w:t>
                  </w:r>
                </w:p>
              </w:tc>
              <w:tc>
                <w:tcPr>
                  <w:tcW w:w="638" w:type="pct"/>
                  <w:tcBorders>
                    <w:tl2br w:val="nil"/>
                    <w:tr2bl w:val="nil"/>
                  </w:tcBorders>
                  <w:noWrap w:val="0"/>
                  <w:vAlign w:val="center"/>
                </w:tcPr>
                <w:p w14:paraId="51304D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F325E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EE9B3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7C8C6B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2.18</w:t>
                  </w:r>
                </w:p>
              </w:tc>
            </w:tr>
            <w:tr w14:paraId="59BDFF8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4A561A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376CC2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陆生生态保护措施</w:t>
                  </w:r>
                </w:p>
              </w:tc>
              <w:tc>
                <w:tcPr>
                  <w:tcW w:w="638" w:type="pct"/>
                  <w:tcBorders>
                    <w:tl2br w:val="nil"/>
                    <w:tr2bl w:val="nil"/>
                  </w:tcBorders>
                  <w:noWrap w:val="0"/>
                  <w:vAlign w:val="center"/>
                </w:tcPr>
                <w:p w14:paraId="146616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6DE25A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432F80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88B36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0.08</w:t>
                  </w:r>
                </w:p>
              </w:tc>
            </w:tr>
            <w:tr w14:paraId="5F5DA96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52DD14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1.1</w:t>
                  </w:r>
                </w:p>
              </w:tc>
              <w:tc>
                <w:tcPr>
                  <w:tcW w:w="1738" w:type="pct"/>
                  <w:tcBorders>
                    <w:tl2br w:val="nil"/>
                    <w:tr2bl w:val="nil"/>
                  </w:tcBorders>
                  <w:noWrap w:val="0"/>
                  <w:vAlign w:val="center"/>
                </w:tcPr>
                <w:p w14:paraId="530907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宣传措施</w:t>
                  </w:r>
                </w:p>
              </w:tc>
              <w:tc>
                <w:tcPr>
                  <w:tcW w:w="638" w:type="pct"/>
                  <w:tcBorders>
                    <w:tl2br w:val="nil"/>
                    <w:tr2bl w:val="nil"/>
                  </w:tcBorders>
                  <w:noWrap w:val="0"/>
                  <w:vAlign w:val="center"/>
                </w:tcPr>
                <w:p w14:paraId="7E408A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02778B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142E2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30DDA3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0.08</w:t>
                  </w:r>
                </w:p>
              </w:tc>
            </w:tr>
            <w:tr w14:paraId="03BD3A6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366AC0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1442C3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宣传手册</w:t>
                  </w:r>
                </w:p>
              </w:tc>
              <w:tc>
                <w:tcPr>
                  <w:tcW w:w="638" w:type="pct"/>
                  <w:tcBorders>
                    <w:tl2br w:val="nil"/>
                    <w:tr2bl w:val="nil"/>
                  </w:tcBorders>
                  <w:noWrap w:val="0"/>
                  <w:vAlign w:val="center"/>
                </w:tcPr>
                <w:p w14:paraId="0ACBCB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册</w:t>
                  </w:r>
                </w:p>
              </w:tc>
              <w:tc>
                <w:tcPr>
                  <w:tcW w:w="638" w:type="pct"/>
                  <w:tcBorders>
                    <w:tl2br w:val="nil"/>
                    <w:tr2bl w:val="nil"/>
                  </w:tcBorders>
                  <w:noWrap w:val="0"/>
                  <w:vAlign w:val="center"/>
                </w:tcPr>
                <w:p w14:paraId="2523C8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15</w:t>
                  </w:r>
                </w:p>
              </w:tc>
              <w:tc>
                <w:tcPr>
                  <w:tcW w:w="638" w:type="pct"/>
                  <w:tcBorders>
                    <w:tl2br w:val="nil"/>
                    <w:tr2bl w:val="nil"/>
                  </w:tcBorders>
                  <w:noWrap w:val="0"/>
                  <w:vAlign w:val="center"/>
                </w:tcPr>
                <w:p w14:paraId="4004E3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50</w:t>
                  </w:r>
                </w:p>
              </w:tc>
              <w:tc>
                <w:tcPr>
                  <w:tcW w:w="706" w:type="pct"/>
                  <w:tcBorders>
                    <w:tl2br w:val="nil"/>
                    <w:tr2bl w:val="nil"/>
                  </w:tcBorders>
                  <w:noWrap w:val="0"/>
                  <w:vAlign w:val="center"/>
                </w:tcPr>
                <w:p w14:paraId="2C7913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0.08</w:t>
                  </w:r>
                </w:p>
              </w:tc>
            </w:tr>
            <w:tr w14:paraId="7DA0856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4DC670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1.2</w:t>
                  </w:r>
                </w:p>
              </w:tc>
              <w:tc>
                <w:tcPr>
                  <w:tcW w:w="1738" w:type="pct"/>
                  <w:tcBorders>
                    <w:tl2br w:val="nil"/>
                    <w:tr2bl w:val="nil"/>
                  </w:tcBorders>
                  <w:noWrap w:val="0"/>
                  <w:vAlign w:val="center"/>
                </w:tcPr>
                <w:p w14:paraId="641FA2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植被恢复</w:t>
                  </w:r>
                </w:p>
              </w:tc>
              <w:tc>
                <w:tcPr>
                  <w:tcW w:w="638" w:type="pct"/>
                  <w:tcBorders>
                    <w:tl2br w:val="nil"/>
                    <w:tr2bl w:val="nil"/>
                  </w:tcBorders>
                  <w:noWrap w:val="0"/>
                  <w:vAlign w:val="center"/>
                </w:tcPr>
                <w:p w14:paraId="05096F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w:t>
                  </w:r>
                </w:p>
              </w:tc>
              <w:tc>
                <w:tcPr>
                  <w:tcW w:w="638" w:type="pct"/>
                  <w:tcBorders>
                    <w:tl2br w:val="nil"/>
                    <w:tr2bl w:val="nil"/>
                  </w:tcBorders>
                  <w:noWrap w:val="0"/>
                  <w:vAlign w:val="center"/>
                </w:tcPr>
                <w:p w14:paraId="7B1018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47A225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725A67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计入水保</w:t>
                  </w:r>
                </w:p>
              </w:tc>
            </w:tr>
            <w:tr w14:paraId="00D66A6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D874F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c>
                <w:tcPr>
                  <w:tcW w:w="1738" w:type="pct"/>
                  <w:tcBorders>
                    <w:tl2br w:val="nil"/>
                    <w:tr2bl w:val="nil"/>
                  </w:tcBorders>
                  <w:noWrap w:val="0"/>
                  <w:vAlign w:val="center"/>
                </w:tcPr>
                <w:p w14:paraId="4FF2FF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环境敏感区保护专项措施</w:t>
                  </w:r>
                </w:p>
              </w:tc>
              <w:tc>
                <w:tcPr>
                  <w:tcW w:w="638" w:type="pct"/>
                  <w:tcBorders>
                    <w:tl2br w:val="nil"/>
                    <w:tr2bl w:val="nil"/>
                  </w:tcBorders>
                  <w:noWrap w:val="0"/>
                  <w:vAlign w:val="center"/>
                </w:tcPr>
                <w:p w14:paraId="6B20FA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9FBEB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334C55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62921A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2.1</w:t>
                  </w:r>
                </w:p>
              </w:tc>
            </w:tr>
            <w:tr w14:paraId="1686FE2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129F1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2.1</w:t>
                  </w:r>
                </w:p>
              </w:tc>
              <w:tc>
                <w:tcPr>
                  <w:tcW w:w="1738" w:type="pct"/>
                  <w:tcBorders>
                    <w:tl2br w:val="nil"/>
                    <w:tr2bl w:val="nil"/>
                  </w:tcBorders>
                  <w:noWrap w:val="0"/>
                  <w:vAlign w:val="center"/>
                </w:tcPr>
                <w:p w14:paraId="7E4AC0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警示牌</w:t>
                  </w:r>
                </w:p>
              </w:tc>
              <w:tc>
                <w:tcPr>
                  <w:tcW w:w="638" w:type="pct"/>
                  <w:tcBorders>
                    <w:tl2br w:val="nil"/>
                    <w:tr2bl w:val="nil"/>
                  </w:tcBorders>
                  <w:noWrap w:val="0"/>
                  <w:vAlign w:val="center"/>
                </w:tcPr>
                <w:p w14:paraId="4BDB8C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块</w:t>
                  </w:r>
                </w:p>
              </w:tc>
              <w:tc>
                <w:tcPr>
                  <w:tcW w:w="638" w:type="pct"/>
                  <w:tcBorders>
                    <w:tl2br w:val="nil"/>
                    <w:tr2bl w:val="nil"/>
                  </w:tcBorders>
                  <w:noWrap w:val="0"/>
                  <w:vAlign w:val="center"/>
                </w:tcPr>
                <w:p w14:paraId="20394B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6</w:t>
                  </w:r>
                </w:p>
              </w:tc>
              <w:tc>
                <w:tcPr>
                  <w:tcW w:w="638" w:type="pct"/>
                  <w:tcBorders>
                    <w:tl2br w:val="nil"/>
                    <w:tr2bl w:val="nil"/>
                  </w:tcBorders>
                  <w:noWrap w:val="0"/>
                  <w:vAlign w:val="center"/>
                </w:tcPr>
                <w:p w14:paraId="46535E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1000</w:t>
                  </w:r>
                </w:p>
              </w:tc>
              <w:tc>
                <w:tcPr>
                  <w:tcW w:w="706" w:type="pct"/>
                  <w:tcBorders>
                    <w:tl2br w:val="nil"/>
                    <w:tr2bl w:val="nil"/>
                  </w:tcBorders>
                  <w:noWrap w:val="0"/>
                  <w:vAlign w:val="center"/>
                </w:tcPr>
                <w:p w14:paraId="424E1D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0.6</w:t>
                  </w:r>
                </w:p>
              </w:tc>
            </w:tr>
            <w:tr w14:paraId="736A6BA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376458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2.2</w:t>
                  </w:r>
                </w:p>
              </w:tc>
              <w:tc>
                <w:tcPr>
                  <w:tcW w:w="1738" w:type="pct"/>
                  <w:tcBorders>
                    <w:tl2br w:val="nil"/>
                    <w:tr2bl w:val="nil"/>
                  </w:tcBorders>
                  <w:noWrap w:val="0"/>
                  <w:vAlign w:val="center"/>
                </w:tcPr>
                <w:p w14:paraId="7CACF8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宣传牌</w:t>
                  </w:r>
                </w:p>
              </w:tc>
              <w:tc>
                <w:tcPr>
                  <w:tcW w:w="638" w:type="pct"/>
                  <w:tcBorders>
                    <w:tl2br w:val="nil"/>
                    <w:tr2bl w:val="nil"/>
                  </w:tcBorders>
                  <w:noWrap w:val="0"/>
                  <w:vAlign w:val="center"/>
                </w:tcPr>
                <w:p w14:paraId="731956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块</w:t>
                  </w:r>
                </w:p>
              </w:tc>
              <w:tc>
                <w:tcPr>
                  <w:tcW w:w="638" w:type="pct"/>
                  <w:tcBorders>
                    <w:tl2br w:val="nil"/>
                    <w:tr2bl w:val="nil"/>
                  </w:tcBorders>
                  <w:noWrap w:val="0"/>
                  <w:vAlign w:val="center"/>
                </w:tcPr>
                <w:p w14:paraId="678D83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3</w:t>
                  </w:r>
                </w:p>
              </w:tc>
              <w:tc>
                <w:tcPr>
                  <w:tcW w:w="638" w:type="pct"/>
                  <w:tcBorders>
                    <w:tl2br w:val="nil"/>
                    <w:tr2bl w:val="nil"/>
                  </w:tcBorders>
                  <w:noWrap w:val="0"/>
                  <w:vAlign w:val="center"/>
                </w:tcPr>
                <w:p w14:paraId="0C6AB9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5000</w:t>
                  </w:r>
                </w:p>
              </w:tc>
              <w:tc>
                <w:tcPr>
                  <w:tcW w:w="706" w:type="pct"/>
                  <w:tcBorders>
                    <w:tl2br w:val="nil"/>
                    <w:tr2bl w:val="nil"/>
                  </w:tcBorders>
                  <w:noWrap w:val="0"/>
                  <w:vAlign w:val="center"/>
                </w:tcPr>
                <w:p w14:paraId="42E709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1.5</w:t>
                  </w:r>
                </w:p>
              </w:tc>
            </w:tr>
            <w:tr w14:paraId="4672E27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686BD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第二部分</w:t>
                  </w:r>
                </w:p>
              </w:tc>
              <w:tc>
                <w:tcPr>
                  <w:tcW w:w="1738" w:type="pct"/>
                  <w:tcBorders>
                    <w:tl2br w:val="nil"/>
                    <w:tr2bl w:val="nil"/>
                  </w:tcBorders>
                  <w:noWrap w:val="0"/>
                  <w:vAlign w:val="center"/>
                </w:tcPr>
                <w:p w14:paraId="1E98E4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环境监测措施</w:t>
                  </w:r>
                </w:p>
              </w:tc>
              <w:tc>
                <w:tcPr>
                  <w:tcW w:w="638" w:type="pct"/>
                  <w:tcBorders>
                    <w:tl2br w:val="nil"/>
                    <w:tr2bl w:val="nil"/>
                  </w:tcBorders>
                  <w:noWrap w:val="0"/>
                  <w:vAlign w:val="center"/>
                </w:tcPr>
                <w:p w14:paraId="5F9747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5560D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32984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7A584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4.98</w:t>
                  </w:r>
                </w:p>
              </w:tc>
            </w:tr>
            <w:tr w14:paraId="6D30070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7CA4C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7D38B4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地表水水质监测</w:t>
                  </w:r>
                </w:p>
              </w:tc>
              <w:tc>
                <w:tcPr>
                  <w:tcW w:w="638" w:type="pct"/>
                  <w:tcBorders>
                    <w:tl2br w:val="nil"/>
                    <w:tr2bl w:val="nil"/>
                  </w:tcBorders>
                  <w:noWrap w:val="0"/>
                  <w:vAlign w:val="center"/>
                </w:tcPr>
                <w:p w14:paraId="44FACA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点次</w:t>
                  </w:r>
                </w:p>
              </w:tc>
              <w:tc>
                <w:tcPr>
                  <w:tcW w:w="638" w:type="pct"/>
                  <w:tcBorders>
                    <w:tl2br w:val="nil"/>
                    <w:tr2bl w:val="nil"/>
                  </w:tcBorders>
                  <w:noWrap w:val="0"/>
                  <w:vAlign w:val="center"/>
                </w:tcPr>
                <w:p w14:paraId="395F67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6</w:t>
                  </w:r>
                </w:p>
              </w:tc>
              <w:tc>
                <w:tcPr>
                  <w:tcW w:w="638" w:type="pct"/>
                  <w:tcBorders>
                    <w:tl2br w:val="nil"/>
                    <w:tr2bl w:val="nil"/>
                  </w:tcBorders>
                  <w:noWrap w:val="0"/>
                  <w:vAlign w:val="center"/>
                </w:tcPr>
                <w:p w14:paraId="653114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1070</w:t>
                  </w:r>
                </w:p>
              </w:tc>
              <w:tc>
                <w:tcPr>
                  <w:tcW w:w="706" w:type="pct"/>
                  <w:tcBorders>
                    <w:tl2br w:val="nil"/>
                    <w:tr2bl w:val="nil"/>
                  </w:tcBorders>
                  <w:noWrap w:val="0"/>
                  <w:vAlign w:val="center"/>
                </w:tcPr>
                <w:p w14:paraId="2B45DC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0.64</w:t>
                  </w:r>
                </w:p>
              </w:tc>
            </w:tr>
            <w:tr w14:paraId="2DB6406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3056DB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c>
                <w:tcPr>
                  <w:tcW w:w="1738" w:type="pct"/>
                  <w:tcBorders>
                    <w:tl2br w:val="nil"/>
                    <w:tr2bl w:val="nil"/>
                  </w:tcBorders>
                  <w:noWrap w:val="0"/>
                  <w:vAlign w:val="center"/>
                </w:tcPr>
                <w:p w14:paraId="700B8F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大气监测</w:t>
                  </w:r>
                </w:p>
              </w:tc>
              <w:tc>
                <w:tcPr>
                  <w:tcW w:w="638" w:type="pct"/>
                  <w:tcBorders>
                    <w:tl2br w:val="nil"/>
                    <w:tr2bl w:val="nil"/>
                  </w:tcBorders>
                  <w:noWrap w:val="0"/>
                  <w:vAlign w:val="center"/>
                </w:tcPr>
                <w:p w14:paraId="02E293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点次</w:t>
                  </w:r>
                </w:p>
              </w:tc>
              <w:tc>
                <w:tcPr>
                  <w:tcW w:w="638" w:type="pct"/>
                  <w:tcBorders>
                    <w:tl2br w:val="nil"/>
                    <w:tr2bl w:val="nil"/>
                  </w:tcBorders>
                  <w:noWrap w:val="0"/>
                  <w:vAlign w:val="center"/>
                </w:tcPr>
                <w:p w14:paraId="771310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12</w:t>
                  </w:r>
                </w:p>
              </w:tc>
              <w:tc>
                <w:tcPr>
                  <w:tcW w:w="638" w:type="pct"/>
                  <w:tcBorders>
                    <w:tl2br w:val="nil"/>
                    <w:tr2bl w:val="nil"/>
                  </w:tcBorders>
                  <w:noWrap w:val="0"/>
                  <w:vAlign w:val="center"/>
                </w:tcPr>
                <w:p w14:paraId="7C37D0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163</w:t>
                  </w:r>
                </w:p>
              </w:tc>
              <w:tc>
                <w:tcPr>
                  <w:tcW w:w="706" w:type="pct"/>
                  <w:tcBorders>
                    <w:tl2br w:val="nil"/>
                    <w:tr2bl w:val="nil"/>
                  </w:tcBorders>
                  <w:noWrap w:val="0"/>
                  <w:vAlign w:val="center"/>
                </w:tcPr>
                <w:p w14:paraId="216881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0.2</w:t>
                  </w:r>
                </w:p>
              </w:tc>
            </w:tr>
            <w:tr w14:paraId="1C6A0C4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4D7B69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3</w:t>
                  </w:r>
                </w:p>
              </w:tc>
              <w:tc>
                <w:tcPr>
                  <w:tcW w:w="1738" w:type="pct"/>
                  <w:tcBorders>
                    <w:tl2br w:val="nil"/>
                    <w:tr2bl w:val="nil"/>
                  </w:tcBorders>
                  <w:noWrap w:val="0"/>
                  <w:vAlign w:val="center"/>
                </w:tcPr>
                <w:p w14:paraId="53ABF0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噪声监测</w:t>
                  </w:r>
                </w:p>
              </w:tc>
              <w:tc>
                <w:tcPr>
                  <w:tcW w:w="638" w:type="pct"/>
                  <w:tcBorders>
                    <w:tl2br w:val="nil"/>
                    <w:tr2bl w:val="nil"/>
                  </w:tcBorders>
                  <w:noWrap w:val="0"/>
                  <w:vAlign w:val="center"/>
                </w:tcPr>
                <w:p w14:paraId="69A094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点次</w:t>
                  </w:r>
                </w:p>
              </w:tc>
              <w:tc>
                <w:tcPr>
                  <w:tcW w:w="638" w:type="pct"/>
                  <w:tcBorders>
                    <w:tl2br w:val="nil"/>
                    <w:tr2bl w:val="nil"/>
                  </w:tcBorders>
                  <w:noWrap w:val="0"/>
                  <w:vAlign w:val="center"/>
                </w:tcPr>
                <w:p w14:paraId="1F2A02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w:t>
                  </w:r>
                </w:p>
              </w:tc>
              <w:tc>
                <w:tcPr>
                  <w:tcW w:w="638" w:type="pct"/>
                  <w:tcBorders>
                    <w:tl2br w:val="nil"/>
                    <w:tr2bl w:val="nil"/>
                  </w:tcBorders>
                  <w:noWrap w:val="0"/>
                  <w:vAlign w:val="center"/>
                </w:tcPr>
                <w:p w14:paraId="01A67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341</w:t>
                  </w:r>
                </w:p>
              </w:tc>
              <w:tc>
                <w:tcPr>
                  <w:tcW w:w="706" w:type="pct"/>
                  <w:tcBorders>
                    <w:tl2br w:val="nil"/>
                    <w:tr2bl w:val="nil"/>
                  </w:tcBorders>
                  <w:noWrap w:val="0"/>
                  <w:vAlign w:val="center"/>
                </w:tcPr>
                <w:p w14:paraId="376C37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0.14</w:t>
                  </w:r>
                </w:p>
              </w:tc>
            </w:tr>
            <w:tr w14:paraId="4975D2A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C278A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w:t>
                  </w:r>
                </w:p>
              </w:tc>
              <w:tc>
                <w:tcPr>
                  <w:tcW w:w="1738" w:type="pct"/>
                  <w:tcBorders>
                    <w:tl2br w:val="nil"/>
                    <w:tr2bl w:val="nil"/>
                  </w:tcBorders>
                  <w:noWrap w:val="0"/>
                  <w:vAlign w:val="center"/>
                </w:tcPr>
                <w:p w14:paraId="774338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水生生态监测</w:t>
                  </w:r>
                </w:p>
              </w:tc>
              <w:tc>
                <w:tcPr>
                  <w:tcW w:w="638" w:type="pct"/>
                  <w:tcBorders>
                    <w:tl2br w:val="nil"/>
                    <w:tr2bl w:val="nil"/>
                  </w:tcBorders>
                  <w:noWrap w:val="0"/>
                  <w:vAlign w:val="center"/>
                </w:tcPr>
                <w:p w14:paraId="722771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点次</w:t>
                  </w:r>
                </w:p>
              </w:tc>
              <w:tc>
                <w:tcPr>
                  <w:tcW w:w="638" w:type="pct"/>
                  <w:tcBorders>
                    <w:tl2br w:val="nil"/>
                    <w:tr2bl w:val="nil"/>
                  </w:tcBorders>
                  <w:noWrap w:val="0"/>
                  <w:vAlign w:val="center"/>
                </w:tcPr>
                <w:p w14:paraId="03F388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5D054E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20000</w:t>
                  </w:r>
                </w:p>
              </w:tc>
              <w:tc>
                <w:tcPr>
                  <w:tcW w:w="706" w:type="pct"/>
                  <w:tcBorders>
                    <w:tl2br w:val="nil"/>
                    <w:tr2bl w:val="nil"/>
                  </w:tcBorders>
                  <w:noWrap w:val="0"/>
                  <w:vAlign w:val="center"/>
                </w:tcPr>
                <w:p w14:paraId="0286D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r>
            <w:tr w14:paraId="7F364D8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612FFD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w:t>
                  </w:r>
                </w:p>
              </w:tc>
              <w:tc>
                <w:tcPr>
                  <w:tcW w:w="1738" w:type="pct"/>
                  <w:tcBorders>
                    <w:tl2br w:val="nil"/>
                    <w:tr2bl w:val="nil"/>
                  </w:tcBorders>
                  <w:noWrap w:val="0"/>
                  <w:vAlign w:val="center"/>
                </w:tcPr>
                <w:p w14:paraId="31F5CE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陆生生态监测</w:t>
                  </w:r>
                </w:p>
              </w:tc>
              <w:tc>
                <w:tcPr>
                  <w:tcW w:w="638" w:type="pct"/>
                  <w:tcBorders>
                    <w:tl2br w:val="nil"/>
                    <w:tr2bl w:val="nil"/>
                  </w:tcBorders>
                  <w:noWrap w:val="0"/>
                  <w:vAlign w:val="center"/>
                </w:tcPr>
                <w:p w14:paraId="245A19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点次</w:t>
                  </w:r>
                </w:p>
              </w:tc>
              <w:tc>
                <w:tcPr>
                  <w:tcW w:w="638" w:type="pct"/>
                  <w:tcBorders>
                    <w:tl2br w:val="nil"/>
                    <w:tr2bl w:val="nil"/>
                  </w:tcBorders>
                  <w:noWrap w:val="0"/>
                  <w:vAlign w:val="center"/>
                </w:tcPr>
                <w:p w14:paraId="0690C6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5CEDDB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20000</w:t>
                  </w:r>
                </w:p>
              </w:tc>
              <w:tc>
                <w:tcPr>
                  <w:tcW w:w="706" w:type="pct"/>
                  <w:tcBorders>
                    <w:tl2br w:val="nil"/>
                    <w:tr2bl w:val="nil"/>
                  </w:tcBorders>
                  <w:noWrap w:val="0"/>
                  <w:vAlign w:val="center"/>
                </w:tcPr>
                <w:p w14:paraId="185589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r>
            <w:tr w14:paraId="64428E1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66FF19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第三部分</w:t>
                  </w:r>
                </w:p>
              </w:tc>
              <w:tc>
                <w:tcPr>
                  <w:tcW w:w="1738" w:type="pct"/>
                  <w:tcBorders>
                    <w:tl2br w:val="nil"/>
                    <w:tr2bl w:val="nil"/>
                  </w:tcBorders>
                  <w:noWrap w:val="0"/>
                  <w:vAlign w:val="center"/>
                </w:tcPr>
                <w:p w14:paraId="7A24B1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环境保护仪器设备及安装工程</w:t>
                  </w:r>
                </w:p>
              </w:tc>
              <w:tc>
                <w:tcPr>
                  <w:tcW w:w="638" w:type="pct"/>
                  <w:tcBorders>
                    <w:tl2br w:val="nil"/>
                    <w:tr2bl w:val="nil"/>
                  </w:tcBorders>
                  <w:noWrap w:val="0"/>
                  <w:vAlign w:val="center"/>
                </w:tcPr>
                <w:p w14:paraId="6DB64B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613F2F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2C4A8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5A7E4F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w:t>
                  </w:r>
                </w:p>
              </w:tc>
            </w:tr>
            <w:tr w14:paraId="1BF18D3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50C11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第四部分</w:t>
                  </w:r>
                </w:p>
              </w:tc>
              <w:tc>
                <w:tcPr>
                  <w:tcW w:w="1738" w:type="pct"/>
                  <w:tcBorders>
                    <w:tl2br w:val="nil"/>
                    <w:tr2bl w:val="nil"/>
                  </w:tcBorders>
                  <w:noWrap w:val="0"/>
                  <w:vAlign w:val="center"/>
                </w:tcPr>
                <w:p w14:paraId="677792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环保临时措施</w:t>
                  </w:r>
                </w:p>
              </w:tc>
              <w:tc>
                <w:tcPr>
                  <w:tcW w:w="638" w:type="pct"/>
                  <w:tcBorders>
                    <w:tl2br w:val="nil"/>
                    <w:tr2bl w:val="nil"/>
                  </w:tcBorders>
                  <w:noWrap w:val="0"/>
                  <w:vAlign w:val="center"/>
                </w:tcPr>
                <w:p w14:paraId="00D9A6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519BDA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072B23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0439FB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1.37</w:t>
                  </w:r>
                </w:p>
              </w:tc>
            </w:tr>
            <w:tr w14:paraId="47DFC90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DAD4D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一</w:t>
                  </w:r>
                </w:p>
              </w:tc>
              <w:tc>
                <w:tcPr>
                  <w:tcW w:w="1738" w:type="pct"/>
                  <w:tcBorders>
                    <w:tl2br w:val="nil"/>
                    <w:tr2bl w:val="nil"/>
                  </w:tcBorders>
                  <w:noWrap w:val="0"/>
                  <w:vAlign w:val="center"/>
                </w:tcPr>
                <w:p w14:paraId="0AE493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生活污水处理系统</w:t>
                  </w:r>
                </w:p>
              </w:tc>
              <w:tc>
                <w:tcPr>
                  <w:tcW w:w="638" w:type="pct"/>
                  <w:tcBorders>
                    <w:tl2br w:val="nil"/>
                    <w:tr2bl w:val="nil"/>
                  </w:tcBorders>
                  <w:noWrap w:val="0"/>
                  <w:vAlign w:val="center"/>
                </w:tcPr>
                <w:p w14:paraId="60CB97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AB902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05C47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423AEB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w:t>
                  </w:r>
                </w:p>
              </w:tc>
            </w:tr>
            <w:tr w14:paraId="4711F98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526D3D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二</w:t>
                  </w:r>
                </w:p>
              </w:tc>
              <w:tc>
                <w:tcPr>
                  <w:tcW w:w="1738" w:type="pct"/>
                  <w:tcBorders>
                    <w:tl2br w:val="nil"/>
                    <w:tr2bl w:val="nil"/>
                  </w:tcBorders>
                  <w:noWrap w:val="0"/>
                  <w:vAlign w:val="center"/>
                </w:tcPr>
                <w:p w14:paraId="03B87D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环境空气质量控制</w:t>
                  </w:r>
                </w:p>
              </w:tc>
              <w:tc>
                <w:tcPr>
                  <w:tcW w:w="638" w:type="pct"/>
                  <w:tcBorders>
                    <w:tl2br w:val="nil"/>
                    <w:tr2bl w:val="nil"/>
                  </w:tcBorders>
                  <w:noWrap w:val="0"/>
                  <w:vAlign w:val="center"/>
                </w:tcPr>
                <w:p w14:paraId="462076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4F5511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8FA2F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E77C5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0.92</w:t>
                  </w:r>
                </w:p>
              </w:tc>
            </w:tr>
            <w:tr w14:paraId="44F0BAB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6F5BB0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7B24E4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eastAsia="宋体" w:cs="宋体"/>
                      <w:i w:val="0"/>
                      <w:iCs w:val="0"/>
                      <w:color w:val="auto"/>
                      <w:kern w:val="0"/>
                      <w:sz w:val="18"/>
                      <w:szCs w:val="18"/>
                      <w:highlight w:val="none"/>
                      <w:u w:val="none"/>
                      <w:lang w:val="en-US" w:eastAsia="zh-CN" w:bidi="ar"/>
                    </w:rPr>
                    <w:t>洒水车租用费</w:t>
                  </w:r>
                  <w:r>
                    <w:rPr>
                      <w:rFonts w:hint="eastAsia" w:ascii="宋体" w:hAnsi="宋体" w:cs="宋体"/>
                      <w:i w:val="0"/>
                      <w:iCs w:val="0"/>
                      <w:color w:val="auto"/>
                      <w:kern w:val="0"/>
                      <w:sz w:val="18"/>
                      <w:szCs w:val="18"/>
                      <w:highlight w:val="none"/>
                      <w:u w:val="none"/>
                      <w:lang w:val="en-US" w:eastAsia="zh-CN" w:bidi="ar"/>
                    </w:rPr>
                    <w:t>、施工围挡</w:t>
                  </w:r>
                </w:p>
              </w:tc>
              <w:tc>
                <w:tcPr>
                  <w:tcW w:w="638" w:type="pct"/>
                  <w:tcBorders>
                    <w:tl2br w:val="nil"/>
                    <w:tr2bl w:val="nil"/>
                  </w:tcBorders>
                  <w:noWrap w:val="0"/>
                  <w:vAlign w:val="center"/>
                </w:tcPr>
                <w:p w14:paraId="45E3A6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w:t>
                  </w:r>
                </w:p>
              </w:tc>
              <w:tc>
                <w:tcPr>
                  <w:tcW w:w="638" w:type="pct"/>
                  <w:tcBorders>
                    <w:tl2br w:val="nil"/>
                    <w:tr2bl w:val="nil"/>
                  </w:tcBorders>
                  <w:noWrap w:val="0"/>
                  <w:vAlign w:val="center"/>
                </w:tcPr>
                <w:p w14:paraId="38286C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7442DD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9200</w:t>
                  </w:r>
                </w:p>
              </w:tc>
              <w:tc>
                <w:tcPr>
                  <w:tcW w:w="706" w:type="pct"/>
                  <w:tcBorders>
                    <w:tl2br w:val="nil"/>
                    <w:tr2bl w:val="nil"/>
                  </w:tcBorders>
                  <w:noWrap w:val="0"/>
                  <w:vAlign w:val="center"/>
                </w:tcPr>
                <w:p w14:paraId="0649DC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0.92</w:t>
                  </w:r>
                </w:p>
              </w:tc>
            </w:tr>
            <w:tr w14:paraId="50C2A83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785C3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三</w:t>
                  </w:r>
                </w:p>
              </w:tc>
              <w:tc>
                <w:tcPr>
                  <w:tcW w:w="1738" w:type="pct"/>
                  <w:tcBorders>
                    <w:tl2br w:val="nil"/>
                    <w:tr2bl w:val="nil"/>
                  </w:tcBorders>
                  <w:noWrap w:val="0"/>
                  <w:vAlign w:val="center"/>
                </w:tcPr>
                <w:p w14:paraId="796CCD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人群建康保护</w:t>
                  </w:r>
                </w:p>
              </w:tc>
              <w:tc>
                <w:tcPr>
                  <w:tcW w:w="638" w:type="pct"/>
                  <w:tcBorders>
                    <w:tl2br w:val="nil"/>
                    <w:tr2bl w:val="nil"/>
                  </w:tcBorders>
                  <w:noWrap w:val="0"/>
                  <w:vAlign w:val="center"/>
                </w:tcPr>
                <w:p w14:paraId="1B5E27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6105D2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381F58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038B6F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0.45</w:t>
                  </w:r>
                </w:p>
              </w:tc>
            </w:tr>
            <w:tr w14:paraId="55F13C1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3B1B4A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0E944D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卫生防疫</w:t>
                  </w:r>
                </w:p>
              </w:tc>
              <w:tc>
                <w:tcPr>
                  <w:tcW w:w="638" w:type="pct"/>
                  <w:tcBorders>
                    <w:tl2br w:val="nil"/>
                    <w:tr2bl w:val="nil"/>
                  </w:tcBorders>
                  <w:noWrap w:val="0"/>
                  <w:vAlign w:val="center"/>
                </w:tcPr>
                <w:p w14:paraId="6CD85A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人</w:t>
                  </w:r>
                </w:p>
              </w:tc>
              <w:tc>
                <w:tcPr>
                  <w:tcW w:w="638" w:type="pct"/>
                  <w:tcBorders>
                    <w:tl2br w:val="nil"/>
                    <w:tr2bl w:val="nil"/>
                  </w:tcBorders>
                  <w:noWrap w:val="0"/>
                  <w:vAlign w:val="center"/>
                </w:tcPr>
                <w:p w14:paraId="362A42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15</w:t>
                  </w:r>
                </w:p>
              </w:tc>
              <w:tc>
                <w:tcPr>
                  <w:tcW w:w="638" w:type="pct"/>
                  <w:tcBorders>
                    <w:tl2br w:val="nil"/>
                    <w:tr2bl w:val="nil"/>
                  </w:tcBorders>
                  <w:noWrap w:val="0"/>
                  <w:vAlign w:val="center"/>
                </w:tcPr>
                <w:p w14:paraId="3604A8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300</w:t>
                  </w:r>
                </w:p>
              </w:tc>
              <w:tc>
                <w:tcPr>
                  <w:tcW w:w="706" w:type="pct"/>
                  <w:tcBorders>
                    <w:tl2br w:val="nil"/>
                    <w:tr2bl w:val="nil"/>
                  </w:tcBorders>
                  <w:noWrap w:val="0"/>
                  <w:vAlign w:val="center"/>
                </w:tcPr>
                <w:p w14:paraId="17F1EB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0.45</w:t>
                  </w:r>
                </w:p>
              </w:tc>
            </w:tr>
            <w:tr w14:paraId="7917C72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1CFD4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四</w:t>
                  </w:r>
                </w:p>
              </w:tc>
              <w:tc>
                <w:tcPr>
                  <w:tcW w:w="1738" w:type="pct"/>
                  <w:tcBorders>
                    <w:tl2br w:val="nil"/>
                    <w:tr2bl w:val="nil"/>
                  </w:tcBorders>
                  <w:noWrap w:val="0"/>
                  <w:vAlign w:val="center"/>
                </w:tcPr>
                <w:p w14:paraId="4564F3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固体废物处置</w:t>
                  </w:r>
                </w:p>
              </w:tc>
              <w:tc>
                <w:tcPr>
                  <w:tcW w:w="638" w:type="pct"/>
                  <w:tcBorders>
                    <w:tl2br w:val="nil"/>
                    <w:tr2bl w:val="nil"/>
                  </w:tcBorders>
                  <w:noWrap w:val="0"/>
                  <w:vAlign w:val="center"/>
                </w:tcPr>
                <w:p w14:paraId="6BF967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6568E9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32F747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23FF9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w:t>
                  </w:r>
                </w:p>
              </w:tc>
            </w:tr>
            <w:tr w14:paraId="529862C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57DA06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1738" w:type="pct"/>
                  <w:tcBorders>
                    <w:tl2br w:val="nil"/>
                    <w:tr2bl w:val="nil"/>
                  </w:tcBorders>
                  <w:noWrap w:val="0"/>
                  <w:vAlign w:val="center"/>
                </w:tcPr>
                <w:p w14:paraId="240BE9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第一至第四部分之和</w:t>
                  </w:r>
                </w:p>
              </w:tc>
              <w:tc>
                <w:tcPr>
                  <w:tcW w:w="638" w:type="pct"/>
                  <w:tcBorders>
                    <w:tl2br w:val="nil"/>
                    <w:tr2bl w:val="nil"/>
                  </w:tcBorders>
                  <w:noWrap w:val="0"/>
                  <w:vAlign w:val="center"/>
                </w:tcPr>
                <w:p w14:paraId="6265A6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E9C8C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3E9F3F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4B0A6B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8.53</w:t>
                  </w:r>
                </w:p>
              </w:tc>
            </w:tr>
            <w:tr w14:paraId="4701A44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C90B9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第五部分</w:t>
                  </w:r>
                </w:p>
              </w:tc>
              <w:tc>
                <w:tcPr>
                  <w:tcW w:w="1738" w:type="pct"/>
                  <w:tcBorders>
                    <w:tl2br w:val="nil"/>
                    <w:tr2bl w:val="nil"/>
                  </w:tcBorders>
                  <w:noWrap w:val="0"/>
                  <w:vAlign w:val="center"/>
                </w:tcPr>
                <w:p w14:paraId="0DC54E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独立费用</w:t>
                  </w:r>
                </w:p>
              </w:tc>
              <w:tc>
                <w:tcPr>
                  <w:tcW w:w="638" w:type="pct"/>
                  <w:tcBorders>
                    <w:tl2br w:val="nil"/>
                    <w:tr2bl w:val="nil"/>
                  </w:tcBorders>
                  <w:noWrap w:val="0"/>
                  <w:vAlign w:val="center"/>
                </w:tcPr>
                <w:p w14:paraId="605FAC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1E8EC4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5CF35C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326C5D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48.43</w:t>
                  </w:r>
                </w:p>
              </w:tc>
            </w:tr>
            <w:tr w14:paraId="64CC234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6937D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一</w:t>
                  </w:r>
                </w:p>
              </w:tc>
              <w:tc>
                <w:tcPr>
                  <w:tcW w:w="1738" w:type="pct"/>
                  <w:tcBorders>
                    <w:tl2br w:val="nil"/>
                    <w:tr2bl w:val="nil"/>
                  </w:tcBorders>
                  <w:noWrap w:val="0"/>
                  <w:vAlign w:val="center"/>
                </w:tcPr>
                <w:p w14:paraId="60AD89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建设管理费</w:t>
                  </w:r>
                </w:p>
              </w:tc>
              <w:tc>
                <w:tcPr>
                  <w:tcW w:w="638" w:type="pct"/>
                  <w:tcBorders>
                    <w:tl2br w:val="nil"/>
                    <w:tr2bl w:val="nil"/>
                  </w:tcBorders>
                  <w:noWrap w:val="0"/>
                  <w:vAlign w:val="center"/>
                </w:tcPr>
                <w:p w14:paraId="1883A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A29C0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366086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D39D7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2.26</w:t>
                  </w:r>
                </w:p>
              </w:tc>
            </w:tr>
            <w:tr w14:paraId="54F77CA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0FC9E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031C40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管理人员经常费</w:t>
                  </w:r>
                </w:p>
              </w:tc>
              <w:tc>
                <w:tcPr>
                  <w:tcW w:w="638" w:type="pct"/>
                  <w:tcBorders>
                    <w:tl2br w:val="nil"/>
                    <w:tr2bl w:val="nil"/>
                  </w:tcBorders>
                  <w:noWrap w:val="0"/>
                  <w:vAlign w:val="center"/>
                </w:tcPr>
                <w:p w14:paraId="0BBD50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3%</w:t>
                  </w:r>
                </w:p>
              </w:tc>
              <w:tc>
                <w:tcPr>
                  <w:tcW w:w="638" w:type="pct"/>
                  <w:tcBorders>
                    <w:tl2br w:val="nil"/>
                    <w:tr2bl w:val="nil"/>
                  </w:tcBorders>
                  <w:noWrap w:val="0"/>
                  <w:vAlign w:val="center"/>
                </w:tcPr>
                <w:p w14:paraId="4F20C2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46EB6B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74C727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0.26</w:t>
                  </w:r>
                </w:p>
              </w:tc>
            </w:tr>
            <w:tr w14:paraId="42BD540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22BCFF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c>
                <w:tcPr>
                  <w:tcW w:w="1738" w:type="pct"/>
                  <w:tcBorders>
                    <w:tl2br w:val="nil"/>
                    <w:tr2bl w:val="nil"/>
                  </w:tcBorders>
                  <w:noWrap w:val="0"/>
                  <w:vAlign w:val="center"/>
                </w:tcPr>
                <w:p w14:paraId="094DBA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环境保护设施竣工验收费</w:t>
                  </w:r>
                </w:p>
              </w:tc>
              <w:tc>
                <w:tcPr>
                  <w:tcW w:w="638" w:type="pct"/>
                  <w:tcBorders>
                    <w:tl2br w:val="nil"/>
                    <w:tr2bl w:val="nil"/>
                  </w:tcBorders>
                  <w:noWrap w:val="0"/>
                  <w:vAlign w:val="center"/>
                </w:tcPr>
                <w:p w14:paraId="1AC2B7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52393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12C669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711A5E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r>
            <w:tr w14:paraId="79E1279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17F4D9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二</w:t>
                  </w:r>
                </w:p>
              </w:tc>
              <w:tc>
                <w:tcPr>
                  <w:tcW w:w="1738" w:type="pct"/>
                  <w:tcBorders>
                    <w:tl2br w:val="nil"/>
                    <w:tr2bl w:val="nil"/>
                  </w:tcBorders>
                  <w:noWrap w:val="0"/>
                  <w:vAlign w:val="center"/>
                </w:tcPr>
                <w:p w14:paraId="6CC830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环境监理费</w:t>
                  </w:r>
                </w:p>
              </w:tc>
              <w:tc>
                <w:tcPr>
                  <w:tcW w:w="638" w:type="pct"/>
                  <w:tcBorders>
                    <w:tl2br w:val="nil"/>
                    <w:tr2bl w:val="nil"/>
                  </w:tcBorders>
                  <w:noWrap w:val="0"/>
                  <w:vAlign w:val="center"/>
                </w:tcPr>
                <w:p w14:paraId="76A1E1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w:t>
                  </w:r>
                </w:p>
              </w:tc>
              <w:tc>
                <w:tcPr>
                  <w:tcW w:w="638" w:type="pct"/>
                  <w:tcBorders>
                    <w:tl2br w:val="nil"/>
                    <w:tr2bl w:val="nil"/>
                  </w:tcBorders>
                  <w:noWrap w:val="0"/>
                  <w:vAlign w:val="center"/>
                </w:tcPr>
                <w:p w14:paraId="1399E6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6094B8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4400</w:t>
                  </w:r>
                </w:p>
              </w:tc>
              <w:tc>
                <w:tcPr>
                  <w:tcW w:w="706" w:type="pct"/>
                  <w:tcBorders>
                    <w:tl2br w:val="nil"/>
                    <w:tr2bl w:val="nil"/>
                  </w:tcBorders>
                  <w:noWrap w:val="0"/>
                  <w:vAlign w:val="center"/>
                </w:tcPr>
                <w:p w14:paraId="6C11B7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0.44</w:t>
                  </w:r>
                </w:p>
              </w:tc>
            </w:tr>
            <w:tr w14:paraId="207E4CE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0DA5A6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三</w:t>
                  </w:r>
                </w:p>
              </w:tc>
              <w:tc>
                <w:tcPr>
                  <w:tcW w:w="1738" w:type="pct"/>
                  <w:tcBorders>
                    <w:tl2br w:val="nil"/>
                    <w:tr2bl w:val="nil"/>
                  </w:tcBorders>
                  <w:noWrap w:val="0"/>
                  <w:vAlign w:val="center"/>
                </w:tcPr>
                <w:p w14:paraId="3EE686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科研勘测设计咨询费</w:t>
                  </w:r>
                </w:p>
              </w:tc>
              <w:tc>
                <w:tcPr>
                  <w:tcW w:w="638" w:type="pct"/>
                  <w:tcBorders>
                    <w:tl2br w:val="nil"/>
                    <w:tr2bl w:val="nil"/>
                  </w:tcBorders>
                  <w:noWrap w:val="0"/>
                  <w:vAlign w:val="center"/>
                </w:tcPr>
                <w:p w14:paraId="0CFCBA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1EA897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F72D2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C735D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45.73</w:t>
                  </w:r>
                </w:p>
              </w:tc>
            </w:tr>
            <w:tr w14:paraId="609BCDE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24E055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4C3EBC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环境保护科学研究试验费</w:t>
                  </w:r>
                </w:p>
              </w:tc>
              <w:tc>
                <w:tcPr>
                  <w:tcW w:w="638" w:type="pct"/>
                  <w:tcBorders>
                    <w:tl2br w:val="nil"/>
                    <w:tr2bl w:val="nil"/>
                  </w:tcBorders>
                  <w:noWrap w:val="0"/>
                  <w:vAlign w:val="center"/>
                </w:tcPr>
                <w:p w14:paraId="5309A4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60F4C3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05444E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2D2A4D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40</w:t>
                  </w:r>
                </w:p>
              </w:tc>
            </w:tr>
            <w:tr w14:paraId="41B4E84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6E2F91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1.1</w:t>
                  </w:r>
                </w:p>
              </w:tc>
              <w:tc>
                <w:tcPr>
                  <w:tcW w:w="1738" w:type="pct"/>
                  <w:tcBorders>
                    <w:tl2br w:val="nil"/>
                    <w:tr2bl w:val="nil"/>
                  </w:tcBorders>
                  <w:noWrap w:val="0"/>
                  <w:vAlign w:val="center"/>
                </w:tcPr>
                <w:p w14:paraId="32D376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自然保护区影响专题</w:t>
                  </w:r>
                </w:p>
              </w:tc>
              <w:tc>
                <w:tcPr>
                  <w:tcW w:w="638" w:type="pct"/>
                  <w:tcBorders>
                    <w:tl2br w:val="nil"/>
                    <w:tr2bl w:val="nil"/>
                  </w:tcBorders>
                  <w:noWrap w:val="0"/>
                  <w:vAlign w:val="center"/>
                </w:tcPr>
                <w:p w14:paraId="48FA65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w:t>
                  </w:r>
                </w:p>
              </w:tc>
              <w:tc>
                <w:tcPr>
                  <w:tcW w:w="638" w:type="pct"/>
                  <w:tcBorders>
                    <w:tl2br w:val="nil"/>
                    <w:tr2bl w:val="nil"/>
                  </w:tcBorders>
                  <w:noWrap w:val="0"/>
                  <w:vAlign w:val="center"/>
                </w:tcPr>
                <w:p w14:paraId="546E30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156F27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200000</w:t>
                  </w:r>
                </w:p>
              </w:tc>
              <w:tc>
                <w:tcPr>
                  <w:tcW w:w="706" w:type="pct"/>
                  <w:tcBorders>
                    <w:tl2br w:val="nil"/>
                    <w:tr2bl w:val="nil"/>
                  </w:tcBorders>
                  <w:noWrap w:val="0"/>
                  <w:vAlign w:val="center"/>
                </w:tcPr>
                <w:p w14:paraId="40DE38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20</w:t>
                  </w:r>
                </w:p>
              </w:tc>
            </w:tr>
            <w:tr w14:paraId="7D597A0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555" w:hRule="atLeast"/>
              </w:trPr>
              <w:tc>
                <w:tcPr>
                  <w:tcW w:w="638" w:type="pct"/>
                  <w:tcBorders>
                    <w:tl2br w:val="nil"/>
                    <w:tr2bl w:val="nil"/>
                  </w:tcBorders>
                  <w:noWrap w:val="0"/>
                  <w:vAlign w:val="center"/>
                </w:tcPr>
                <w:p w14:paraId="483A44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1.2</w:t>
                  </w:r>
                </w:p>
              </w:tc>
              <w:tc>
                <w:tcPr>
                  <w:tcW w:w="1738" w:type="pct"/>
                  <w:tcBorders>
                    <w:tl2br w:val="nil"/>
                    <w:tr2bl w:val="nil"/>
                  </w:tcBorders>
                  <w:noWrap w:val="0"/>
                  <w:vAlign w:val="center"/>
                </w:tcPr>
                <w:p w14:paraId="0F3767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工程占用湿地生物多样性影响专题</w:t>
                  </w:r>
                </w:p>
              </w:tc>
              <w:tc>
                <w:tcPr>
                  <w:tcW w:w="638" w:type="pct"/>
                  <w:tcBorders>
                    <w:tl2br w:val="nil"/>
                    <w:tr2bl w:val="nil"/>
                  </w:tcBorders>
                  <w:noWrap w:val="0"/>
                  <w:vAlign w:val="center"/>
                </w:tcPr>
                <w:p w14:paraId="290E4E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w:t>
                  </w:r>
                </w:p>
              </w:tc>
              <w:tc>
                <w:tcPr>
                  <w:tcW w:w="638" w:type="pct"/>
                  <w:tcBorders>
                    <w:tl2br w:val="nil"/>
                    <w:tr2bl w:val="nil"/>
                  </w:tcBorders>
                  <w:noWrap w:val="0"/>
                  <w:vAlign w:val="center"/>
                </w:tcPr>
                <w:p w14:paraId="055906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38DDAE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200000</w:t>
                  </w:r>
                </w:p>
              </w:tc>
              <w:tc>
                <w:tcPr>
                  <w:tcW w:w="706" w:type="pct"/>
                  <w:tcBorders>
                    <w:tl2br w:val="nil"/>
                    <w:tr2bl w:val="nil"/>
                  </w:tcBorders>
                  <w:noWrap w:val="0"/>
                  <w:vAlign w:val="center"/>
                </w:tcPr>
                <w:p w14:paraId="64BD67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20</w:t>
                  </w:r>
                </w:p>
              </w:tc>
            </w:tr>
            <w:tr w14:paraId="3873EC0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268C46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1738" w:type="pct"/>
                  <w:tcBorders>
                    <w:tl2br w:val="nil"/>
                    <w:tr2bl w:val="nil"/>
                  </w:tcBorders>
                  <w:noWrap w:val="0"/>
                  <w:vAlign w:val="center"/>
                </w:tcPr>
                <w:p w14:paraId="17F7AF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环境影响评价费</w:t>
                  </w:r>
                </w:p>
              </w:tc>
              <w:tc>
                <w:tcPr>
                  <w:tcW w:w="638" w:type="pct"/>
                  <w:tcBorders>
                    <w:tl2br w:val="nil"/>
                    <w:tr2bl w:val="nil"/>
                  </w:tcBorders>
                  <w:noWrap w:val="0"/>
                  <w:vAlign w:val="center"/>
                </w:tcPr>
                <w:p w14:paraId="6B78B9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项</w:t>
                  </w:r>
                </w:p>
              </w:tc>
              <w:tc>
                <w:tcPr>
                  <w:tcW w:w="638" w:type="pct"/>
                  <w:tcBorders>
                    <w:tl2br w:val="nil"/>
                    <w:tr2bl w:val="nil"/>
                  </w:tcBorders>
                  <w:noWrap w:val="0"/>
                  <w:vAlign w:val="center"/>
                </w:tcPr>
                <w:p w14:paraId="2CB5AA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1</w:t>
                  </w:r>
                </w:p>
              </w:tc>
              <w:tc>
                <w:tcPr>
                  <w:tcW w:w="638" w:type="pct"/>
                  <w:tcBorders>
                    <w:tl2br w:val="nil"/>
                    <w:tr2bl w:val="nil"/>
                  </w:tcBorders>
                  <w:noWrap w:val="0"/>
                  <w:vAlign w:val="center"/>
                </w:tcPr>
                <w:p w14:paraId="41D35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50000</w:t>
                  </w:r>
                </w:p>
              </w:tc>
              <w:tc>
                <w:tcPr>
                  <w:tcW w:w="706" w:type="pct"/>
                  <w:tcBorders>
                    <w:tl2br w:val="nil"/>
                    <w:tr2bl w:val="nil"/>
                  </w:tcBorders>
                  <w:noWrap w:val="0"/>
                  <w:vAlign w:val="center"/>
                </w:tcPr>
                <w:p w14:paraId="28EAF0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w:t>
                  </w:r>
                </w:p>
              </w:tc>
            </w:tr>
            <w:tr w14:paraId="3B5F109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2D292C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2</w:t>
                  </w:r>
                </w:p>
              </w:tc>
              <w:tc>
                <w:tcPr>
                  <w:tcW w:w="1738" w:type="pct"/>
                  <w:tcBorders>
                    <w:tl2br w:val="nil"/>
                    <w:tr2bl w:val="nil"/>
                  </w:tcBorders>
                  <w:noWrap w:val="0"/>
                  <w:vAlign w:val="center"/>
                </w:tcPr>
                <w:p w14:paraId="4CBD0F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勘测设计费</w:t>
                  </w:r>
                </w:p>
              </w:tc>
              <w:tc>
                <w:tcPr>
                  <w:tcW w:w="1916" w:type="pct"/>
                  <w:gridSpan w:val="3"/>
                  <w:tcBorders>
                    <w:tl2br w:val="nil"/>
                    <w:tr2bl w:val="nil"/>
                  </w:tcBorders>
                  <w:noWrap w:val="0"/>
                  <w:vAlign w:val="center"/>
                </w:tcPr>
                <w:p w14:paraId="784CBF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按照</w:t>
                  </w:r>
                  <w:r>
                    <w:rPr>
                      <w:rFonts w:hint="default" w:ascii="Times New Roman" w:hAnsi="Times New Roman" w:eastAsia="宋体" w:cs="Times New Roman"/>
                      <w:i w:val="0"/>
                      <w:iCs w:val="0"/>
                      <w:color w:val="auto"/>
                      <w:kern w:val="0"/>
                      <w:sz w:val="18"/>
                      <w:szCs w:val="18"/>
                      <w:highlight w:val="none"/>
                      <w:u w:val="none"/>
                      <w:lang w:val="en-US" w:eastAsia="zh-CN" w:bidi="ar"/>
                    </w:rPr>
                    <w:t>1283</w:t>
                  </w:r>
                  <w:r>
                    <w:rPr>
                      <w:rFonts w:hint="eastAsia" w:ascii="宋体" w:hAnsi="宋体" w:eastAsia="宋体" w:cs="宋体"/>
                      <w:i w:val="0"/>
                      <w:iCs w:val="0"/>
                      <w:color w:val="auto"/>
                      <w:kern w:val="0"/>
                      <w:sz w:val="18"/>
                      <w:szCs w:val="18"/>
                      <w:highlight w:val="none"/>
                      <w:u w:val="none"/>
                      <w:lang w:val="en-US" w:eastAsia="zh-CN" w:bidi="ar"/>
                    </w:rPr>
                    <w:t>号、</w:t>
                  </w:r>
                  <w:r>
                    <w:rPr>
                      <w:rFonts w:hint="default" w:ascii="Times New Roman" w:hAnsi="Times New Roman" w:eastAsia="宋体" w:cs="Times New Roman"/>
                      <w:i w:val="0"/>
                      <w:iCs w:val="0"/>
                      <w:color w:val="auto"/>
                      <w:kern w:val="0"/>
                      <w:sz w:val="18"/>
                      <w:szCs w:val="18"/>
                      <w:highlight w:val="none"/>
                      <w:u w:val="none"/>
                      <w:lang w:val="en-US" w:eastAsia="zh-CN" w:bidi="ar"/>
                    </w:rPr>
                    <w:t>1352</w:t>
                  </w:r>
                  <w:r>
                    <w:rPr>
                      <w:rFonts w:hint="eastAsia" w:ascii="宋体" w:hAnsi="宋体" w:eastAsia="宋体" w:cs="宋体"/>
                      <w:i w:val="0"/>
                      <w:iCs w:val="0"/>
                      <w:color w:val="auto"/>
                      <w:kern w:val="0"/>
                      <w:sz w:val="18"/>
                      <w:szCs w:val="18"/>
                      <w:highlight w:val="none"/>
                      <w:u w:val="none"/>
                      <w:lang w:val="en-US" w:eastAsia="zh-CN" w:bidi="ar"/>
                    </w:rPr>
                    <w:t>号及</w:t>
                  </w:r>
                  <w:r>
                    <w:rPr>
                      <w:rFonts w:hint="default" w:ascii="Times New Roman" w:hAnsi="Times New Roman" w:eastAsia="宋体" w:cs="Times New Roman"/>
                      <w:i w:val="0"/>
                      <w:iCs w:val="0"/>
                      <w:color w:val="auto"/>
                      <w:kern w:val="0"/>
                      <w:sz w:val="18"/>
                      <w:szCs w:val="18"/>
                      <w:highlight w:val="none"/>
                      <w:u w:val="none"/>
                      <w:lang w:val="en-US" w:eastAsia="zh-CN" w:bidi="ar"/>
                    </w:rPr>
                    <w:t>10</w:t>
                  </w:r>
                  <w:r>
                    <w:rPr>
                      <w:rFonts w:hint="eastAsia" w:ascii="宋体" w:hAnsi="宋体" w:eastAsia="宋体" w:cs="宋体"/>
                      <w:i w:val="0"/>
                      <w:iCs w:val="0"/>
                      <w:color w:val="auto"/>
                      <w:kern w:val="0"/>
                      <w:sz w:val="18"/>
                      <w:szCs w:val="18"/>
                      <w:highlight w:val="none"/>
                      <w:u w:val="none"/>
                      <w:lang w:val="en-US" w:eastAsia="zh-CN" w:bidi="ar"/>
                    </w:rPr>
                    <w:t>号文计</w:t>
                  </w:r>
                </w:p>
              </w:tc>
              <w:tc>
                <w:tcPr>
                  <w:tcW w:w="706" w:type="pct"/>
                  <w:tcBorders>
                    <w:tl2br w:val="nil"/>
                    <w:tr2bl w:val="nil"/>
                  </w:tcBorders>
                  <w:noWrap w:val="0"/>
                  <w:vAlign w:val="center"/>
                </w:tcPr>
                <w:p w14:paraId="1159AD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0.73</w:t>
                  </w:r>
                </w:p>
              </w:tc>
            </w:tr>
            <w:tr w14:paraId="4E6511C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95" w:hRule="atLeast"/>
              </w:trPr>
              <w:tc>
                <w:tcPr>
                  <w:tcW w:w="638" w:type="pct"/>
                  <w:tcBorders>
                    <w:tl2br w:val="nil"/>
                    <w:tr2bl w:val="nil"/>
                  </w:tcBorders>
                  <w:noWrap w:val="0"/>
                  <w:vAlign w:val="center"/>
                </w:tcPr>
                <w:p w14:paraId="712578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1738" w:type="pct"/>
                  <w:tcBorders>
                    <w:tl2br w:val="nil"/>
                    <w:tr2bl w:val="nil"/>
                  </w:tcBorders>
                  <w:noWrap w:val="0"/>
                  <w:vAlign w:val="center"/>
                </w:tcPr>
                <w:p w14:paraId="33C66A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第一至第五部分之和</w:t>
                  </w:r>
                </w:p>
              </w:tc>
              <w:tc>
                <w:tcPr>
                  <w:tcW w:w="638" w:type="pct"/>
                  <w:tcBorders>
                    <w:tl2br w:val="nil"/>
                    <w:tr2bl w:val="nil"/>
                  </w:tcBorders>
                  <w:noWrap w:val="0"/>
                  <w:vAlign w:val="center"/>
                </w:tcPr>
                <w:p w14:paraId="1EFA02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4878DC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78203B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05CB2F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56.96</w:t>
                  </w:r>
                </w:p>
              </w:tc>
            </w:tr>
            <w:tr w14:paraId="60662D8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79" w:hRule="atLeast"/>
              </w:trPr>
              <w:tc>
                <w:tcPr>
                  <w:tcW w:w="638" w:type="pct"/>
                  <w:tcBorders>
                    <w:tl2br w:val="nil"/>
                    <w:tr2bl w:val="nil"/>
                  </w:tcBorders>
                  <w:noWrap w:val="0"/>
                  <w:vAlign w:val="center"/>
                </w:tcPr>
                <w:p w14:paraId="5F4A47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1738" w:type="pct"/>
                  <w:tcBorders>
                    <w:tl2br w:val="nil"/>
                    <w:tr2bl w:val="nil"/>
                  </w:tcBorders>
                  <w:noWrap w:val="0"/>
                  <w:vAlign w:val="center"/>
                </w:tcPr>
                <w:p w14:paraId="1270E3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总投资</w:t>
                  </w:r>
                </w:p>
              </w:tc>
              <w:tc>
                <w:tcPr>
                  <w:tcW w:w="638" w:type="pct"/>
                  <w:tcBorders>
                    <w:tl2br w:val="nil"/>
                    <w:tr2bl w:val="nil"/>
                  </w:tcBorders>
                  <w:noWrap w:val="0"/>
                  <w:vAlign w:val="center"/>
                </w:tcPr>
                <w:p w14:paraId="529765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68617E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638" w:type="pct"/>
                  <w:tcBorders>
                    <w:tl2br w:val="nil"/>
                    <w:tr2bl w:val="nil"/>
                  </w:tcBorders>
                  <w:noWrap w:val="0"/>
                  <w:vAlign w:val="center"/>
                </w:tcPr>
                <w:p w14:paraId="287607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等线" w:cs="Times New Roman"/>
                      <w:i w:val="0"/>
                      <w:iCs w:val="0"/>
                      <w:color w:val="auto"/>
                      <w:sz w:val="18"/>
                      <w:szCs w:val="18"/>
                      <w:highlight w:val="none"/>
                      <w:u w:val="none"/>
                    </w:rPr>
                  </w:pPr>
                </w:p>
              </w:tc>
              <w:tc>
                <w:tcPr>
                  <w:tcW w:w="706" w:type="pct"/>
                  <w:tcBorders>
                    <w:tl2br w:val="nil"/>
                    <w:tr2bl w:val="nil"/>
                  </w:tcBorders>
                  <w:noWrap w:val="0"/>
                  <w:vAlign w:val="center"/>
                </w:tcPr>
                <w:p w14:paraId="70BE24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等线" w:cs="Times New Roman"/>
                      <w:i w:val="0"/>
                      <w:iCs w:val="0"/>
                      <w:color w:val="auto"/>
                      <w:sz w:val="18"/>
                      <w:szCs w:val="18"/>
                      <w:highlight w:val="none"/>
                      <w:u w:val="none"/>
                    </w:rPr>
                  </w:pPr>
                  <w:r>
                    <w:rPr>
                      <w:rFonts w:hint="default" w:ascii="Times New Roman" w:hAnsi="Times New Roman" w:eastAsia="等线" w:cs="Times New Roman"/>
                      <w:i w:val="0"/>
                      <w:iCs w:val="0"/>
                      <w:color w:val="auto"/>
                      <w:kern w:val="0"/>
                      <w:sz w:val="18"/>
                      <w:szCs w:val="18"/>
                      <w:highlight w:val="none"/>
                      <w:u w:val="none"/>
                      <w:lang w:val="en-US" w:eastAsia="zh-CN" w:bidi="ar"/>
                    </w:rPr>
                    <w:t>56.96</w:t>
                  </w:r>
                </w:p>
              </w:tc>
            </w:tr>
          </w:tbl>
          <w:p w14:paraId="73192861">
            <w:pPr>
              <w:rPr>
                <w:color w:val="auto"/>
                <w:highlight w:val="none"/>
              </w:rPr>
            </w:pPr>
          </w:p>
          <w:p w14:paraId="52069768">
            <w:pPr>
              <w:pStyle w:val="9"/>
              <w:rPr>
                <w:color w:val="auto"/>
                <w:highlight w:val="none"/>
              </w:rPr>
            </w:pPr>
          </w:p>
          <w:p w14:paraId="704F7277">
            <w:pPr>
              <w:rPr>
                <w:color w:val="auto"/>
                <w:highlight w:val="none"/>
              </w:rPr>
            </w:pPr>
          </w:p>
          <w:p w14:paraId="35FE352B">
            <w:pPr>
              <w:pStyle w:val="9"/>
              <w:rPr>
                <w:color w:val="auto"/>
                <w:highlight w:val="none"/>
              </w:rPr>
            </w:pPr>
          </w:p>
          <w:p w14:paraId="273DC408">
            <w:pPr>
              <w:rPr>
                <w:color w:val="auto"/>
                <w:highlight w:val="none"/>
              </w:rPr>
            </w:pPr>
          </w:p>
          <w:p w14:paraId="603126BB">
            <w:pPr>
              <w:pStyle w:val="9"/>
              <w:rPr>
                <w:color w:val="auto"/>
                <w:highlight w:val="none"/>
              </w:rPr>
            </w:pPr>
          </w:p>
          <w:p w14:paraId="008F4528">
            <w:pPr>
              <w:rPr>
                <w:color w:val="auto"/>
                <w:highlight w:val="none"/>
              </w:rPr>
            </w:pPr>
          </w:p>
          <w:p w14:paraId="1314EF84">
            <w:pPr>
              <w:rPr>
                <w:color w:val="auto"/>
                <w:highlight w:val="none"/>
              </w:rPr>
            </w:pPr>
          </w:p>
          <w:p w14:paraId="4B271155">
            <w:pPr>
              <w:rPr>
                <w:color w:val="auto"/>
                <w:highlight w:val="none"/>
              </w:rPr>
            </w:pPr>
          </w:p>
          <w:p w14:paraId="3B663D43">
            <w:pPr>
              <w:rPr>
                <w:color w:val="auto"/>
                <w:highlight w:val="none"/>
              </w:rPr>
            </w:pPr>
          </w:p>
          <w:p w14:paraId="3220926F">
            <w:pPr>
              <w:rPr>
                <w:color w:val="auto"/>
                <w:highlight w:val="none"/>
              </w:rPr>
            </w:pPr>
          </w:p>
          <w:p w14:paraId="70CE49AD">
            <w:pPr>
              <w:rPr>
                <w:color w:val="auto"/>
                <w:highlight w:val="none"/>
              </w:rPr>
            </w:pPr>
          </w:p>
          <w:p w14:paraId="530D713E">
            <w:pPr>
              <w:rPr>
                <w:color w:val="auto"/>
                <w:highlight w:val="none"/>
              </w:rPr>
            </w:pPr>
          </w:p>
          <w:p w14:paraId="1E42D14B">
            <w:pPr>
              <w:rPr>
                <w:color w:val="auto"/>
                <w:highlight w:val="none"/>
              </w:rPr>
            </w:pPr>
          </w:p>
          <w:p w14:paraId="6313C180">
            <w:pPr>
              <w:rPr>
                <w:color w:val="auto"/>
                <w:highlight w:val="none"/>
              </w:rPr>
            </w:pPr>
          </w:p>
          <w:p w14:paraId="442EE516">
            <w:pPr>
              <w:rPr>
                <w:color w:val="auto"/>
                <w:highlight w:val="none"/>
              </w:rPr>
            </w:pPr>
          </w:p>
          <w:p w14:paraId="21A139CC">
            <w:pPr>
              <w:rPr>
                <w:color w:val="auto"/>
                <w:highlight w:val="none"/>
              </w:rPr>
            </w:pPr>
          </w:p>
          <w:p w14:paraId="211D09E9">
            <w:pPr>
              <w:pStyle w:val="9"/>
              <w:rPr>
                <w:highlight w:val="none"/>
              </w:rPr>
            </w:pPr>
          </w:p>
          <w:p w14:paraId="0726576D">
            <w:pPr>
              <w:rPr>
                <w:color w:val="auto"/>
                <w:highlight w:val="none"/>
              </w:rPr>
            </w:pPr>
          </w:p>
          <w:p w14:paraId="567E2A1D">
            <w:pPr>
              <w:rPr>
                <w:highlight w:val="none"/>
              </w:rPr>
            </w:pPr>
          </w:p>
        </w:tc>
      </w:tr>
    </w:tbl>
    <w:p w14:paraId="2EA18F11">
      <w:pPr>
        <w:rPr>
          <w:color w:val="FF0000"/>
          <w:highlight w:val="none"/>
        </w:rPr>
        <w:sectPr>
          <w:pgSz w:w="11907" w:h="16840"/>
          <w:pgMar w:top="1440" w:right="1800" w:bottom="1440" w:left="1800" w:header="851" w:footer="1077" w:gutter="0"/>
          <w:pgBorders>
            <w:top w:val="none" w:sz="0" w:space="0"/>
            <w:left w:val="none" w:sz="0" w:space="0"/>
            <w:bottom w:val="none" w:sz="0" w:space="0"/>
            <w:right w:val="none" w:sz="0" w:space="0"/>
          </w:pgBorders>
          <w:cols w:space="425" w:num="1"/>
          <w:docGrid w:linePitch="312" w:charSpace="0"/>
        </w:sectPr>
      </w:pPr>
    </w:p>
    <w:p w14:paraId="387EE2AE">
      <w:pPr>
        <w:pStyle w:val="22"/>
        <w:jc w:val="center"/>
        <w:outlineLvl w:val="0"/>
        <w:rPr>
          <w:rFonts w:ascii="Times New Roman" w:hAnsi="Times New Roman" w:eastAsia="黑体"/>
          <w:snapToGrid w:val="0"/>
          <w:color w:val="auto"/>
          <w:sz w:val="30"/>
          <w:szCs w:val="30"/>
          <w:highlight w:val="none"/>
        </w:rPr>
      </w:pPr>
      <w:bookmarkStart w:id="43" w:name="_Toc9029"/>
      <w:r>
        <w:rPr>
          <w:rFonts w:ascii="Times New Roman" w:hAnsi="Times New Roman" w:eastAsia="黑体"/>
          <w:snapToGrid w:val="0"/>
          <w:color w:val="auto"/>
          <w:sz w:val="30"/>
          <w:szCs w:val="30"/>
          <w:highlight w:val="none"/>
        </w:rPr>
        <w:t>六、生态环境保护措施监督检查清单</w:t>
      </w:r>
      <w:bookmarkEnd w:id="43"/>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3640"/>
        <w:gridCol w:w="1938"/>
        <w:gridCol w:w="1503"/>
        <w:gridCol w:w="1009"/>
      </w:tblGrid>
      <w:tr w14:paraId="5E1CB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23" w:type="pct"/>
            <w:vMerge w:val="restart"/>
            <w:tcBorders>
              <w:tl2br w:val="single" w:color="auto" w:sz="4" w:space="0"/>
            </w:tcBorders>
          </w:tcPr>
          <w:p w14:paraId="76CAF5F7">
            <w:pPr>
              <w:pStyle w:val="22"/>
              <w:adjustRightInd w:val="0"/>
              <w:snapToGrid w:val="0"/>
              <w:spacing w:before="72" w:beforeLines="30" w:beforeAutospacing="0" w:after="0" w:afterAutospacing="0"/>
              <w:jc w:val="right"/>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内容</w:t>
            </w:r>
          </w:p>
          <w:p w14:paraId="634AECE1">
            <w:pPr>
              <w:pStyle w:val="22"/>
              <w:adjustRightInd w:val="0"/>
              <w:snapToGrid w:val="0"/>
              <w:spacing w:before="0" w:beforeAutospacing="0" w:after="0" w:afterAutospacing="0" w:line="14" w:lineRule="auto"/>
              <w:rPr>
                <w:rFonts w:ascii="Times New Roman" w:hAnsi="Times New Roman"/>
                <w:color w:val="auto"/>
                <w:kern w:val="2"/>
                <w:sz w:val="21"/>
                <w:szCs w:val="21"/>
                <w:highlight w:val="none"/>
              </w:rPr>
            </w:pPr>
            <w:r>
              <w:rPr>
                <w:rFonts w:ascii="Times New Roman" w:hAnsi="Times New Roman"/>
                <w:color w:val="auto"/>
                <w:kern w:val="2"/>
                <w:sz w:val="21"/>
                <w:szCs w:val="21"/>
                <w:highlight w:val="none"/>
              </w:rPr>
              <w:t xml:space="preserve"> </w:t>
            </w:r>
          </w:p>
          <w:p w14:paraId="4C6E6029">
            <w:pPr>
              <w:pStyle w:val="22"/>
              <w:adjustRightInd w:val="0"/>
              <w:snapToGrid w:val="0"/>
              <w:spacing w:before="0" w:beforeAutospacing="0" w:after="0" w:afterAutospacing="0" w:line="14" w:lineRule="auto"/>
              <w:rPr>
                <w:rFonts w:ascii="Times New Roman" w:hAnsi="Times New Roman"/>
                <w:color w:val="auto"/>
                <w:kern w:val="2"/>
                <w:sz w:val="21"/>
                <w:szCs w:val="21"/>
                <w:highlight w:val="none"/>
              </w:rPr>
            </w:pPr>
          </w:p>
          <w:p w14:paraId="416BD85D">
            <w:pPr>
              <w:pStyle w:val="22"/>
              <w:adjustRightInd w:val="0"/>
              <w:snapToGrid w:val="0"/>
              <w:spacing w:before="0" w:beforeAutospacing="0" w:after="0" w:afterAutospacing="0" w:line="14" w:lineRule="auto"/>
              <w:rPr>
                <w:rFonts w:ascii="Times New Roman" w:hAnsi="Times New Roman"/>
                <w:color w:val="auto"/>
                <w:kern w:val="2"/>
                <w:sz w:val="21"/>
                <w:szCs w:val="21"/>
                <w:highlight w:val="none"/>
              </w:rPr>
            </w:pPr>
          </w:p>
          <w:p w14:paraId="61584EF6">
            <w:pPr>
              <w:pStyle w:val="22"/>
              <w:adjustRightInd w:val="0"/>
              <w:snapToGrid w:val="0"/>
              <w:spacing w:before="0" w:beforeAutospacing="0" w:after="0" w:afterAutospacing="0" w:line="14" w:lineRule="auto"/>
              <w:rPr>
                <w:rFonts w:ascii="Times New Roman" w:hAnsi="Times New Roman"/>
                <w:color w:val="auto"/>
                <w:kern w:val="2"/>
                <w:sz w:val="135"/>
                <w:szCs w:val="21"/>
                <w:highlight w:val="none"/>
              </w:rPr>
            </w:pPr>
            <w:r>
              <w:rPr>
                <w:rFonts w:ascii="Times New Roman" w:hAnsi="Times New Roman"/>
                <w:color w:val="auto"/>
                <w:kern w:val="2"/>
                <w:sz w:val="135"/>
                <w:szCs w:val="21"/>
                <w:highlight w:val="none"/>
              </w:rPr>
              <w:t xml:space="preserve"> </w:t>
            </w:r>
          </w:p>
          <w:p w14:paraId="13DA11C8">
            <w:pPr>
              <w:pStyle w:val="22"/>
              <w:adjustRightInd w:val="0"/>
              <w:snapToGrid w:val="0"/>
              <w:spacing w:before="0" w:beforeAutospacing="0" w:after="0" w:afterAutospacing="0"/>
              <w:rPr>
                <w:rFonts w:ascii="Times New Roman" w:hAnsi="Times New Roman"/>
                <w:color w:val="auto"/>
                <w:kern w:val="2"/>
                <w:sz w:val="21"/>
                <w:szCs w:val="21"/>
                <w:highlight w:val="none"/>
              </w:rPr>
            </w:pPr>
          </w:p>
          <w:p w14:paraId="2FE8D40A">
            <w:pPr>
              <w:pStyle w:val="22"/>
              <w:adjustRightInd w:val="0"/>
              <w:snapToGrid w:val="0"/>
              <w:spacing w:before="0" w:beforeAutospacing="0" w:after="0" w:afterAutospacing="0"/>
              <w:rPr>
                <w:rFonts w:ascii="Times New Roman" w:hAnsi="Times New Roman"/>
                <w:color w:val="auto"/>
                <w:kern w:val="2"/>
                <w:sz w:val="21"/>
                <w:szCs w:val="21"/>
                <w:highlight w:val="none"/>
              </w:rPr>
            </w:pPr>
            <w:r>
              <w:rPr>
                <w:rFonts w:ascii="Times New Roman" w:hAnsi="Times New Roman"/>
                <w:color w:val="auto"/>
                <w:kern w:val="2"/>
                <w:sz w:val="21"/>
                <w:szCs w:val="21"/>
                <w:highlight w:val="none"/>
              </w:rPr>
              <w:t>要素</w:t>
            </w:r>
          </w:p>
        </w:tc>
        <w:tc>
          <w:tcPr>
            <w:tcW w:w="3017" w:type="pct"/>
            <w:gridSpan w:val="2"/>
            <w:vAlign w:val="center"/>
          </w:tcPr>
          <w:p w14:paraId="121B47D2">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施工期</w:t>
            </w:r>
          </w:p>
        </w:tc>
        <w:tc>
          <w:tcPr>
            <w:tcW w:w="1359" w:type="pct"/>
            <w:gridSpan w:val="2"/>
            <w:vAlign w:val="center"/>
          </w:tcPr>
          <w:p w14:paraId="3B9F0201">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运营期</w:t>
            </w:r>
          </w:p>
        </w:tc>
      </w:tr>
      <w:tr w14:paraId="0D503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623" w:type="pct"/>
            <w:vMerge w:val="continue"/>
          </w:tcPr>
          <w:p w14:paraId="0F510C5E">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p>
        </w:tc>
        <w:tc>
          <w:tcPr>
            <w:tcW w:w="1969" w:type="pct"/>
            <w:vAlign w:val="center"/>
          </w:tcPr>
          <w:p w14:paraId="33542BD8">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环境保护措施</w:t>
            </w:r>
          </w:p>
        </w:tc>
        <w:tc>
          <w:tcPr>
            <w:tcW w:w="1048" w:type="pct"/>
            <w:vAlign w:val="center"/>
          </w:tcPr>
          <w:p w14:paraId="3F22D210">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验收要求</w:t>
            </w:r>
          </w:p>
        </w:tc>
        <w:tc>
          <w:tcPr>
            <w:tcW w:w="813" w:type="pct"/>
            <w:vAlign w:val="center"/>
          </w:tcPr>
          <w:p w14:paraId="35E18C6D">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环境保护措施</w:t>
            </w:r>
          </w:p>
        </w:tc>
        <w:tc>
          <w:tcPr>
            <w:tcW w:w="545" w:type="pct"/>
            <w:vAlign w:val="center"/>
          </w:tcPr>
          <w:p w14:paraId="28D4F88E">
            <w:pPr>
              <w:pStyle w:val="22"/>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验收要求</w:t>
            </w:r>
          </w:p>
        </w:tc>
      </w:tr>
      <w:tr w14:paraId="383B41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23" w:type="pct"/>
            <w:vAlign w:val="center"/>
          </w:tcPr>
          <w:p w14:paraId="59CBFB5D">
            <w:pPr>
              <w:adjustRightInd w:val="0"/>
              <w:snapToGrid w:val="0"/>
              <w:jc w:val="center"/>
              <w:rPr>
                <w:color w:val="auto"/>
                <w:szCs w:val="21"/>
                <w:highlight w:val="none"/>
              </w:rPr>
            </w:pPr>
            <w:r>
              <w:rPr>
                <w:color w:val="auto"/>
                <w:szCs w:val="21"/>
                <w:highlight w:val="none"/>
              </w:rPr>
              <w:t>陆生生态</w:t>
            </w:r>
          </w:p>
        </w:tc>
        <w:tc>
          <w:tcPr>
            <w:tcW w:w="1969" w:type="pct"/>
            <w:vAlign w:val="center"/>
          </w:tcPr>
          <w:p w14:paraId="1A7BF131">
            <w:pPr>
              <w:adjustRightInd w:val="0"/>
              <w:snapToGrid w:val="0"/>
              <w:rPr>
                <w:rFonts w:hint="eastAsia"/>
                <w:color w:val="auto"/>
                <w:szCs w:val="21"/>
                <w:highlight w:val="none"/>
                <w:lang w:val="en-US" w:eastAsia="zh-CN"/>
              </w:rPr>
            </w:pPr>
            <w:r>
              <w:rPr>
                <w:rFonts w:hint="eastAsia"/>
                <w:color w:val="auto"/>
                <w:szCs w:val="21"/>
                <w:highlight w:val="none"/>
                <w:lang w:val="en-US" w:eastAsia="zh-CN"/>
              </w:rPr>
              <w:t>陆生植物：1）严格按照设计文件确定施工范围，进行地表植被清理工作；禁止施工人员、车辆进入非施工占地区域。2）优化施工方案，合理安排施工进度，加快施工进程，缩短周期，减少影响的时间；避开雨天施工。3）严格控制路基开挖施工作业面，避免超挖破坏周围植被；对于坡面工程应及时采取工程或植物措施加以防护以减少水土流失现象发生。4）各种机械、车辆应定期检查维护，减少跑、冒、滴、漏等环节对土壤的污染。5）及时处理固体废物如生活垃圾、施工物料和施工垃圾等，杜绝超范围用地。6）本工程不设置施工驻地，施工人员食宿租赁附近民宅。7）在施工过程中发现国家或省级重点保护野生植物时，应报告当地林业和环境保护部门，并立即实施抢救和妥善保护，并在最近区域内寻找相似生境进行移栽。</w:t>
            </w:r>
          </w:p>
          <w:p w14:paraId="1C38721E">
            <w:pPr>
              <w:adjustRightInd w:val="0"/>
              <w:snapToGrid w:val="0"/>
              <w:rPr>
                <w:rFonts w:hint="default"/>
                <w:color w:val="auto"/>
                <w:szCs w:val="21"/>
                <w:highlight w:val="none"/>
                <w:lang w:val="en-US" w:eastAsia="zh-CN"/>
              </w:rPr>
            </w:pPr>
            <w:r>
              <w:rPr>
                <w:rFonts w:hint="eastAsia"/>
                <w:color w:val="auto"/>
                <w:szCs w:val="21"/>
                <w:highlight w:val="none"/>
                <w:lang w:val="en-US" w:eastAsia="zh-CN"/>
              </w:rPr>
              <w:t>陆生动物：1）施工期间，建设单位及施工单位应加强施工人员、管理人员生态保护宣传教育，以宣传册、警示牌、宣传牌等形式，对施工区工作、生活人员特别是施工人员及时进行宣传教育；建立生态破坏惩罚制度，严禁施工人员非法捕猎野生动物。2）根据施工总平面布置图，确定施工用地范围，进行标桩划界，禁止施工人员、施工机械进入非施工占地区域；非施工区严禁烟火、狩猎和垂钓等活动。禁止施工人员野外用火，使对野生动物的干扰降至最低程度。3）施工期建设单位及施工范围应加强保护动物基本情况的宣传，增强施工人员的生态保护意识；同时，一旦发现上述保护动物误入工程区，应及时上报，严禁捕杀。4）加强工程建设的环境保护监督管理、统筹安排，设立环境保护监督机构和环保专职人员，加强对施工人员的环保教育，严禁施工人员盗猎野生动物，对违法行为进行依法处置。</w:t>
            </w:r>
          </w:p>
        </w:tc>
        <w:tc>
          <w:tcPr>
            <w:tcW w:w="1048" w:type="pct"/>
            <w:vAlign w:val="center"/>
          </w:tcPr>
          <w:p w14:paraId="4D88B426">
            <w:pPr>
              <w:adjustRightInd w:val="0"/>
              <w:snapToGrid w:val="0"/>
              <w:jc w:val="center"/>
              <w:rPr>
                <w:color w:val="auto"/>
                <w:szCs w:val="21"/>
                <w:highlight w:val="none"/>
              </w:rPr>
            </w:pPr>
            <w:r>
              <w:rPr>
                <w:color w:val="auto"/>
                <w:szCs w:val="21"/>
                <w:highlight w:val="none"/>
              </w:rPr>
              <w:t>各项措施及时落实到位</w:t>
            </w:r>
          </w:p>
        </w:tc>
        <w:tc>
          <w:tcPr>
            <w:tcW w:w="813" w:type="pct"/>
            <w:vAlign w:val="center"/>
          </w:tcPr>
          <w:p w14:paraId="1073EF46">
            <w:pPr>
              <w:adjustRightInd w:val="0"/>
              <w:snapToGrid w:val="0"/>
              <w:rPr>
                <w:color w:val="auto"/>
                <w:szCs w:val="21"/>
                <w:highlight w:val="none"/>
              </w:rPr>
            </w:pPr>
            <w:r>
              <w:rPr>
                <w:rFonts w:hint="eastAsia"/>
                <w:color w:val="auto"/>
                <w:szCs w:val="21"/>
                <w:highlight w:val="none"/>
              </w:rPr>
              <w:t>定期巡查、检修。出现破损时，及时上报修复</w:t>
            </w:r>
          </w:p>
        </w:tc>
        <w:tc>
          <w:tcPr>
            <w:tcW w:w="545" w:type="pct"/>
            <w:vAlign w:val="center"/>
          </w:tcPr>
          <w:p w14:paraId="4AAF0AB9">
            <w:pPr>
              <w:adjustRightInd w:val="0"/>
              <w:snapToGrid w:val="0"/>
              <w:jc w:val="center"/>
              <w:rPr>
                <w:color w:val="auto"/>
                <w:szCs w:val="21"/>
                <w:highlight w:val="none"/>
              </w:rPr>
            </w:pPr>
            <w:r>
              <w:rPr>
                <w:rFonts w:hint="eastAsia"/>
                <w:color w:val="auto"/>
                <w:szCs w:val="21"/>
                <w:highlight w:val="none"/>
              </w:rPr>
              <w:t>/</w:t>
            </w:r>
          </w:p>
        </w:tc>
      </w:tr>
      <w:tr w14:paraId="47128F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23" w:type="pct"/>
            <w:vAlign w:val="center"/>
          </w:tcPr>
          <w:p w14:paraId="54408A14">
            <w:pPr>
              <w:adjustRightInd w:val="0"/>
              <w:snapToGrid w:val="0"/>
              <w:jc w:val="center"/>
              <w:rPr>
                <w:color w:val="auto"/>
                <w:szCs w:val="21"/>
                <w:highlight w:val="none"/>
              </w:rPr>
            </w:pPr>
            <w:r>
              <w:rPr>
                <w:color w:val="auto"/>
                <w:szCs w:val="21"/>
                <w:highlight w:val="none"/>
              </w:rPr>
              <w:t>水生生态</w:t>
            </w:r>
          </w:p>
        </w:tc>
        <w:tc>
          <w:tcPr>
            <w:tcW w:w="1969" w:type="pct"/>
            <w:vAlign w:val="center"/>
          </w:tcPr>
          <w:p w14:paraId="577107EE">
            <w:pPr>
              <w:adjustRightInd w:val="0"/>
              <w:snapToGrid w:val="0"/>
              <w:rPr>
                <w:rFonts w:hint="eastAsia"/>
                <w:color w:val="auto"/>
                <w:szCs w:val="21"/>
                <w:highlight w:val="none"/>
                <w:lang w:eastAsia="zh-CN"/>
              </w:rPr>
            </w:pPr>
            <w:r>
              <w:rPr>
                <w:rFonts w:hint="eastAsia"/>
                <w:color w:val="auto"/>
                <w:szCs w:val="21"/>
                <w:highlight w:val="none"/>
                <w:lang w:eastAsia="zh-CN"/>
              </w:rPr>
              <w:t>1）加强施工期管理和环境保护宣传，禁止施工人员钓、网等捕鱼行为发生。</w:t>
            </w:r>
          </w:p>
          <w:p w14:paraId="22B1F90E">
            <w:pPr>
              <w:adjustRightInd w:val="0"/>
              <w:snapToGrid w:val="0"/>
              <w:rPr>
                <w:color w:val="auto"/>
                <w:szCs w:val="21"/>
                <w:highlight w:val="none"/>
              </w:rPr>
            </w:pPr>
            <w:r>
              <w:rPr>
                <w:rFonts w:hint="eastAsia"/>
                <w:color w:val="auto"/>
                <w:szCs w:val="21"/>
                <w:highlight w:val="none"/>
                <w:lang w:eastAsia="zh-CN"/>
              </w:rPr>
              <w:t>2）施工期间应及时处理固体垃圾，有效处理废水，禁止将生产生活污水排入地表水体，防止污染河流水质事件的发生。严禁有毒有害物质进入水体对鱼类等水生生物造成伤害。3）施工期间尽可能减少噪声，采取低噪声设备施工，减少噪声对鱼类影响。4）与当地渔业管理部门通力协作，加大渔政管理，加强施工期和运行期渔政执法力度，打击非法捕捞天然鱼类资源违法行为。5）加强施工期水生生物监测工作，开展鱼类、浮游植物、浮游动物、底栖动物种类组成、生物量等水生生物监测工作，遇到问题及时发现及时整改，排除隐患。</w:t>
            </w:r>
          </w:p>
        </w:tc>
        <w:tc>
          <w:tcPr>
            <w:tcW w:w="1048" w:type="pct"/>
            <w:vAlign w:val="center"/>
          </w:tcPr>
          <w:p w14:paraId="0FF565B0">
            <w:pPr>
              <w:adjustRightInd w:val="0"/>
              <w:snapToGrid w:val="0"/>
              <w:rPr>
                <w:color w:val="auto"/>
                <w:szCs w:val="21"/>
                <w:highlight w:val="none"/>
              </w:rPr>
            </w:pPr>
            <w:r>
              <w:rPr>
                <w:rFonts w:hint="eastAsia"/>
                <w:color w:val="auto"/>
                <w:szCs w:val="21"/>
                <w:highlight w:val="none"/>
                <w:lang w:val="en-US" w:eastAsia="zh-CN"/>
              </w:rPr>
              <w:t>满足本报告提出的环保措施要求</w:t>
            </w:r>
          </w:p>
        </w:tc>
        <w:tc>
          <w:tcPr>
            <w:tcW w:w="813" w:type="pct"/>
            <w:vAlign w:val="center"/>
          </w:tcPr>
          <w:p w14:paraId="544ABB45">
            <w:pPr>
              <w:adjustRightInd w:val="0"/>
              <w:snapToGrid w:val="0"/>
              <w:jc w:val="center"/>
              <w:rPr>
                <w:color w:val="auto"/>
                <w:szCs w:val="21"/>
                <w:highlight w:val="none"/>
              </w:rPr>
            </w:pPr>
            <w:r>
              <w:rPr>
                <w:rFonts w:hint="eastAsia"/>
                <w:color w:val="auto"/>
                <w:szCs w:val="21"/>
                <w:highlight w:val="none"/>
              </w:rPr>
              <w:t>/</w:t>
            </w:r>
          </w:p>
        </w:tc>
        <w:tc>
          <w:tcPr>
            <w:tcW w:w="545" w:type="pct"/>
            <w:vAlign w:val="center"/>
          </w:tcPr>
          <w:p w14:paraId="51FF37F5">
            <w:pPr>
              <w:adjustRightInd w:val="0"/>
              <w:snapToGrid w:val="0"/>
              <w:jc w:val="center"/>
              <w:rPr>
                <w:color w:val="auto"/>
                <w:szCs w:val="21"/>
                <w:highlight w:val="none"/>
              </w:rPr>
            </w:pPr>
            <w:r>
              <w:rPr>
                <w:rFonts w:hint="eastAsia"/>
                <w:color w:val="auto"/>
                <w:szCs w:val="21"/>
                <w:highlight w:val="none"/>
              </w:rPr>
              <w:t>/</w:t>
            </w:r>
          </w:p>
        </w:tc>
      </w:tr>
      <w:tr w14:paraId="095E37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1" w:hRule="atLeast"/>
          <w:jc w:val="center"/>
        </w:trPr>
        <w:tc>
          <w:tcPr>
            <w:tcW w:w="623" w:type="pct"/>
            <w:vAlign w:val="center"/>
          </w:tcPr>
          <w:p w14:paraId="2E15A8EF">
            <w:pPr>
              <w:adjustRightInd w:val="0"/>
              <w:snapToGrid w:val="0"/>
              <w:jc w:val="center"/>
              <w:rPr>
                <w:color w:val="auto"/>
                <w:szCs w:val="21"/>
                <w:highlight w:val="none"/>
              </w:rPr>
            </w:pPr>
            <w:r>
              <w:rPr>
                <w:color w:val="auto"/>
                <w:szCs w:val="21"/>
                <w:highlight w:val="none"/>
              </w:rPr>
              <w:t>地表水环境</w:t>
            </w:r>
          </w:p>
        </w:tc>
        <w:tc>
          <w:tcPr>
            <w:tcW w:w="1969" w:type="pct"/>
            <w:vAlign w:val="center"/>
          </w:tcPr>
          <w:p w14:paraId="0FFEAC39">
            <w:pPr>
              <w:adjustRightInd w:val="0"/>
              <w:snapToGrid w:val="0"/>
              <w:rPr>
                <w:rFonts w:hint="eastAsia" w:eastAsia="宋体"/>
                <w:color w:val="auto"/>
                <w:szCs w:val="21"/>
                <w:highlight w:val="none"/>
                <w:lang w:eastAsia="zh-CN"/>
              </w:rPr>
            </w:pPr>
            <w:r>
              <w:rPr>
                <w:rFonts w:hint="eastAsia"/>
                <w:color w:val="auto"/>
                <w:highlight w:val="none"/>
                <w:lang w:val="en-US" w:eastAsia="zh-CN"/>
              </w:rPr>
              <w:t>施工期现场生产区</w:t>
            </w:r>
            <w:r>
              <w:rPr>
                <w:color w:val="auto"/>
                <w:highlight w:val="none"/>
              </w:rPr>
              <w:t>生活污水集中排入自建的临时防渗旱厕，定期清掏</w:t>
            </w:r>
            <w:r>
              <w:rPr>
                <w:rFonts w:hint="eastAsia"/>
                <w:color w:val="auto"/>
                <w:highlight w:val="none"/>
              </w:rPr>
              <w:t>，外运堆肥</w:t>
            </w:r>
            <w:r>
              <w:rPr>
                <w:rFonts w:hint="eastAsia"/>
                <w:color w:val="auto"/>
                <w:highlight w:val="none"/>
                <w:lang w:eastAsia="zh-CN"/>
              </w:rPr>
              <w:t>。</w:t>
            </w:r>
          </w:p>
        </w:tc>
        <w:tc>
          <w:tcPr>
            <w:tcW w:w="1048" w:type="pct"/>
            <w:vAlign w:val="center"/>
          </w:tcPr>
          <w:p w14:paraId="3821C08D">
            <w:pPr>
              <w:adjustRightInd w:val="0"/>
              <w:snapToGrid w:val="0"/>
              <w:rPr>
                <w:color w:val="auto"/>
                <w:szCs w:val="21"/>
                <w:highlight w:val="none"/>
              </w:rPr>
            </w:pPr>
            <w:r>
              <w:rPr>
                <w:color w:val="auto"/>
                <w:highlight w:val="none"/>
              </w:rPr>
              <w:t>防渗旱厕施工结束后及时拆除、消毒，并填埋压实</w:t>
            </w:r>
          </w:p>
        </w:tc>
        <w:tc>
          <w:tcPr>
            <w:tcW w:w="813" w:type="pct"/>
            <w:vAlign w:val="center"/>
          </w:tcPr>
          <w:p w14:paraId="01E4C3C2">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545" w:type="pct"/>
            <w:vAlign w:val="center"/>
          </w:tcPr>
          <w:p w14:paraId="4036977C">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789CE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623" w:type="pct"/>
            <w:vAlign w:val="center"/>
          </w:tcPr>
          <w:p w14:paraId="7E8DD16F">
            <w:pPr>
              <w:adjustRightInd w:val="0"/>
              <w:snapToGrid w:val="0"/>
              <w:jc w:val="center"/>
              <w:rPr>
                <w:color w:val="auto"/>
                <w:szCs w:val="21"/>
                <w:highlight w:val="none"/>
              </w:rPr>
            </w:pPr>
            <w:r>
              <w:rPr>
                <w:color w:val="auto"/>
                <w:szCs w:val="21"/>
                <w:highlight w:val="none"/>
              </w:rPr>
              <w:t>地下水及土壤环境</w:t>
            </w:r>
          </w:p>
        </w:tc>
        <w:tc>
          <w:tcPr>
            <w:tcW w:w="1969" w:type="pct"/>
            <w:vAlign w:val="center"/>
          </w:tcPr>
          <w:p w14:paraId="21A885DD">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048" w:type="pct"/>
            <w:vAlign w:val="center"/>
          </w:tcPr>
          <w:p w14:paraId="5924308C">
            <w:pPr>
              <w:adjustRightInd w:val="0"/>
              <w:snapToGrid w:val="0"/>
              <w:jc w:val="center"/>
              <w:rPr>
                <w:color w:val="auto"/>
                <w:szCs w:val="21"/>
                <w:highlight w:val="none"/>
              </w:rPr>
            </w:pPr>
            <w:r>
              <w:rPr>
                <w:rFonts w:hint="eastAsia"/>
                <w:color w:val="auto"/>
                <w:szCs w:val="21"/>
                <w:highlight w:val="none"/>
              </w:rPr>
              <w:t>/</w:t>
            </w:r>
          </w:p>
        </w:tc>
        <w:tc>
          <w:tcPr>
            <w:tcW w:w="813" w:type="pct"/>
            <w:vAlign w:val="center"/>
          </w:tcPr>
          <w:p w14:paraId="5C674CB7">
            <w:pPr>
              <w:adjustRightInd w:val="0"/>
              <w:snapToGrid w:val="0"/>
              <w:jc w:val="center"/>
              <w:rPr>
                <w:color w:val="auto"/>
                <w:szCs w:val="21"/>
                <w:highlight w:val="none"/>
              </w:rPr>
            </w:pPr>
            <w:r>
              <w:rPr>
                <w:rFonts w:hint="eastAsia"/>
                <w:color w:val="auto"/>
                <w:szCs w:val="21"/>
                <w:highlight w:val="none"/>
              </w:rPr>
              <w:t>/</w:t>
            </w:r>
          </w:p>
        </w:tc>
        <w:tc>
          <w:tcPr>
            <w:tcW w:w="545" w:type="pct"/>
            <w:vAlign w:val="center"/>
          </w:tcPr>
          <w:p w14:paraId="01F6EADE">
            <w:pPr>
              <w:adjustRightInd w:val="0"/>
              <w:snapToGrid w:val="0"/>
              <w:jc w:val="center"/>
              <w:rPr>
                <w:color w:val="auto"/>
                <w:szCs w:val="21"/>
                <w:highlight w:val="none"/>
              </w:rPr>
            </w:pPr>
            <w:r>
              <w:rPr>
                <w:rFonts w:hint="eastAsia"/>
                <w:color w:val="auto"/>
                <w:szCs w:val="21"/>
                <w:highlight w:val="none"/>
              </w:rPr>
              <w:t>/</w:t>
            </w:r>
          </w:p>
        </w:tc>
      </w:tr>
      <w:tr w14:paraId="5DE553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623" w:type="pct"/>
            <w:vAlign w:val="center"/>
          </w:tcPr>
          <w:p w14:paraId="364BF0CC">
            <w:pPr>
              <w:adjustRightInd w:val="0"/>
              <w:snapToGrid w:val="0"/>
              <w:jc w:val="center"/>
              <w:rPr>
                <w:color w:val="auto"/>
                <w:szCs w:val="21"/>
                <w:highlight w:val="none"/>
              </w:rPr>
            </w:pPr>
            <w:r>
              <w:rPr>
                <w:color w:val="auto"/>
                <w:szCs w:val="21"/>
                <w:highlight w:val="none"/>
              </w:rPr>
              <w:t>声环境</w:t>
            </w:r>
          </w:p>
        </w:tc>
        <w:tc>
          <w:tcPr>
            <w:tcW w:w="1969" w:type="pct"/>
            <w:vAlign w:val="center"/>
          </w:tcPr>
          <w:p w14:paraId="1A618553">
            <w:pPr>
              <w:adjustRightInd w:val="0"/>
              <w:snapToGrid w:val="0"/>
              <w:rPr>
                <w:color w:val="auto"/>
                <w:szCs w:val="21"/>
                <w:highlight w:val="none"/>
              </w:rPr>
            </w:pPr>
            <w:r>
              <w:rPr>
                <w:color w:val="auto"/>
                <w:highlight w:val="none"/>
              </w:rPr>
              <w:t>选用低噪声机械设备</w:t>
            </w:r>
            <w:r>
              <w:rPr>
                <w:rFonts w:hint="eastAsia"/>
                <w:color w:val="auto"/>
                <w:highlight w:val="none"/>
              </w:rPr>
              <w:t>；运输车辆禁止鸣高音喇叭，尤其是经过沿线村屯时应限速行驶，并禁止鸣笛；</w:t>
            </w:r>
            <w:r>
              <w:rPr>
                <w:color w:val="auto"/>
                <w:highlight w:val="none"/>
              </w:rPr>
              <w:t>合理安排施工作业时间，晚间</w:t>
            </w:r>
            <w:r>
              <w:rPr>
                <w:rFonts w:hint="eastAsia"/>
                <w:color w:val="auto"/>
                <w:highlight w:val="none"/>
              </w:rPr>
              <w:t>避免</w:t>
            </w:r>
            <w:r>
              <w:rPr>
                <w:color w:val="auto"/>
                <w:highlight w:val="none"/>
              </w:rPr>
              <w:t>高噪声设备施工等</w:t>
            </w:r>
            <w:r>
              <w:rPr>
                <w:rFonts w:hint="eastAsia"/>
                <w:color w:val="auto"/>
                <w:highlight w:val="none"/>
              </w:rPr>
              <w:t>。</w:t>
            </w:r>
          </w:p>
        </w:tc>
        <w:tc>
          <w:tcPr>
            <w:tcW w:w="1048" w:type="pct"/>
            <w:vAlign w:val="center"/>
          </w:tcPr>
          <w:p w14:paraId="2A447202">
            <w:pPr>
              <w:adjustRightInd w:val="0"/>
              <w:snapToGrid w:val="0"/>
              <w:rPr>
                <w:color w:val="auto"/>
                <w:szCs w:val="21"/>
                <w:highlight w:val="none"/>
              </w:rPr>
            </w:pPr>
            <w:r>
              <w:rPr>
                <w:color w:val="auto"/>
                <w:highlight w:val="none"/>
              </w:rPr>
              <w:t>满足《建筑施工场界环境噪声排放标准》（GB12523-2011）标准</w:t>
            </w:r>
          </w:p>
        </w:tc>
        <w:tc>
          <w:tcPr>
            <w:tcW w:w="813" w:type="pct"/>
            <w:vAlign w:val="center"/>
          </w:tcPr>
          <w:p w14:paraId="1ED67AB0">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545" w:type="pct"/>
            <w:vAlign w:val="center"/>
          </w:tcPr>
          <w:p w14:paraId="252D821D">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308D0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23" w:type="pct"/>
            <w:vAlign w:val="center"/>
          </w:tcPr>
          <w:p w14:paraId="1645328D">
            <w:pPr>
              <w:adjustRightInd w:val="0"/>
              <w:snapToGrid w:val="0"/>
              <w:jc w:val="center"/>
              <w:rPr>
                <w:color w:val="auto"/>
                <w:szCs w:val="21"/>
                <w:highlight w:val="none"/>
              </w:rPr>
            </w:pPr>
            <w:r>
              <w:rPr>
                <w:color w:val="auto"/>
                <w:szCs w:val="21"/>
                <w:highlight w:val="none"/>
              </w:rPr>
              <w:t>大气环境</w:t>
            </w:r>
          </w:p>
        </w:tc>
        <w:tc>
          <w:tcPr>
            <w:tcW w:w="1969" w:type="pct"/>
            <w:vAlign w:val="center"/>
          </w:tcPr>
          <w:p w14:paraId="77B103B7">
            <w:pPr>
              <w:adjustRightInd w:val="0"/>
              <w:snapToGrid w:val="0"/>
              <w:rPr>
                <w:color w:val="auto"/>
                <w:szCs w:val="21"/>
                <w:highlight w:val="none"/>
              </w:rPr>
            </w:pPr>
            <w:r>
              <w:rPr>
                <w:rFonts w:hint="eastAsia"/>
                <w:color w:val="auto"/>
                <w:highlight w:val="none"/>
              </w:rPr>
              <w:t>洒水抑尘措施，禁止大风天气施工，施工场地周边应设置围挡等措施，物料堆放场采取洒水保湿、苫布覆盖等措施可有效减小堆场扬尘。风大天气禁止土方开挖。车辆路过村屯，车速低于20km/h。</w:t>
            </w:r>
          </w:p>
        </w:tc>
        <w:tc>
          <w:tcPr>
            <w:tcW w:w="1048" w:type="pct"/>
            <w:vAlign w:val="center"/>
          </w:tcPr>
          <w:p w14:paraId="5CE88208">
            <w:pPr>
              <w:adjustRightInd w:val="0"/>
              <w:snapToGrid w:val="0"/>
              <w:rPr>
                <w:color w:val="auto"/>
                <w:szCs w:val="21"/>
                <w:highlight w:val="none"/>
              </w:rPr>
            </w:pPr>
            <w:r>
              <w:rPr>
                <w:rFonts w:hint="eastAsia"/>
                <w:color w:val="auto"/>
                <w:highlight w:val="none"/>
              </w:rPr>
              <w:t>施工期产生的粉尘排放浓度执行《大气污染物综合排放标准》(GB16297-1996)表2中无组织排放监控浓度限值</w:t>
            </w:r>
          </w:p>
        </w:tc>
        <w:tc>
          <w:tcPr>
            <w:tcW w:w="813" w:type="pct"/>
            <w:vAlign w:val="center"/>
          </w:tcPr>
          <w:p w14:paraId="5ED1652A">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545" w:type="pct"/>
            <w:vAlign w:val="center"/>
          </w:tcPr>
          <w:p w14:paraId="2222EA8E">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0014D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9" w:hRule="atLeast"/>
          <w:jc w:val="center"/>
        </w:trPr>
        <w:tc>
          <w:tcPr>
            <w:tcW w:w="623" w:type="pct"/>
            <w:vAlign w:val="center"/>
          </w:tcPr>
          <w:p w14:paraId="2DFD07A8">
            <w:pPr>
              <w:adjustRightInd w:val="0"/>
              <w:snapToGrid w:val="0"/>
              <w:jc w:val="center"/>
              <w:rPr>
                <w:color w:val="auto"/>
                <w:szCs w:val="21"/>
                <w:highlight w:val="none"/>
              </w:rPr>
            </w:pPr>
            <w:r>
              <w:rPr>
                <w:color w:val="auto"/>
                <w:szCs w:val="21"/>
                <w:highlight w:val="none"/>
              </w:rPr>
              <w:t>固体废物</w:t>
            </w:r>
          </w:p>
        </w:tc>
        <w:tc>
          <w:tcPr>
            <w:tcW w:w="1969" w:type="pct"/>
            <w:vAlign w:val="center"/>
          </w:tcPr>
          <w:p w14:paraId="5F1B7971">
            <w:pPr>
              <w:adjustRightInd w:val="0"/>
              <w:snapToGrid w:val="0"/>
              <w:rPr>
                <w:color w:val="auto"/>
                <w:szCs w:val="21"/>
                <w:highlight w:val="none"/>
              </w:rPr>
            </w:pPr>
            <w:r>
              <w:rPr>
                <w:rFonts w:hint="eastAsia"/>
                <w:color w:val="auto"/>
                <w:highlight w:val="none"/>
              </w:rPr>
              <w:t>①土方回填</w:t>
            </w:r>
            <w:r>
              <w:rPr>
                <w:rFonts w:hint="default" w:ascii="Times New Roman" w:hAnsi="Times New Roman" w:cs="Times New Roman"/>
                <w:color w:val="auto"/>
                <w:highlight w:val="none"/>
              </w:rPr>
              <w:t>；②生活垃圾集中收集后交由环卫部门统一处理。</w:t>
            </w:r>
          </w:p>
        </w:tc>
        <w:tc>
          <w:tcPr>
            <w:tcW w:w="1048" w:type="pct"/>
            <w:vAlign w:val="center"/>
          </w:tcPr>
          <w:p w14:paraId="3C0ED3D8">
            <w:pPr>
              <w:adjustRightInd w:val="0"/>
              <w:snapToGrid w:val="0"/>
              <w:rPr>
                <w:color w:val="auto"/>
                <w:szCs w:val="21"/>
                <w:highlight w:val="none"/>
              </w:rPr>
            </w:pPr>
            <w:r>
              <w:rPr>
                <w:color w:val="auto"/>
                <w:highlight w:val="none"/>
              </w:rPr>
              <w:t>落实相关措施，</w:t>
            </w:r>
            <w:r>
              <w:rPr>
                <w:rFonts w:hint="eastAsia"/>
                <w:color w:val="auto"/>
                <w:highlight w:val="none"/>
              </w:rPr>
              <w:t>施工期固体废物处置率为1</w:t>
            </w:r>
            <w:r>
              <w:rPr>
                <w:color w:val="auto"/>
                <w:highlight w:val="none"/>
              </w:rPr>
              <w:t>00</w:t>
            </w:r>
            <w:r>
              <w:rPr>
                <w:rFonts w:hint="eastAsia"/>
                <w:color w:val="auto"/>
                <w:highlight w:val="none"/>
              </w:rPr>
              <w:t>%，</w:t>
            </w:r>
            <w:r>
              <w:rPr>
                <w:color w:val="auto"/>
                <w:highlight w:val="none"/>
              </w:rPr>
              <w:t>无乱丢乱弃。</w:t>
            </w:r>
          </w:p>
        </w:tc>
        <w:tc>
          <w:tcPr>
            <w:tcW w:w="813" w:type="pct"/>
            <w:vAlign w:val="center"/>
          </w:tcPr>
          <w:p w14:paraId="1FE1DF9C">
            <w:pPr>
              <w:adjustRightInd w:val="0"/>
              <w:snapToGrid w:val="0"/>
              <w:jc w:val="center"/>
              <w:rPr>
                <w:color w:val="auto"/>
                <w:szCs w:val="21"/>
                <w:highlight w:val="none"/>
              </w:rPr>
            </w:pPr>
            <w:r>
              <w:rPr>
                <w:rFonts w:hint="eastAsia"/>
                <w:color w:val="auto"/>
                <w:szCs w:val="21"/>
                <w:highlight w:val="none"/>
              </w:rPr>
              <w:t>/</w:t>
            </w:r>
          </w:p>
        </w:tc>
        <w:tc>
          <w:tcPr>
            <w:tcW w:w="545" w:type="pct"/>
            <w:vAlign w:val="center"/>
          </w:tcPr>
          <w:p w14:paraId="374C2ADB">
            <w:pPr>
              <w:adjustRightInd w:val="0"/>
              <w:snapToGrid w:val="0"/>
              <w:jc w:val="center"/>
              <w:rPr>
                <w:color w:val="auto"/>
                <w:szCs w:val="21"/>
                <w:highlight w:val="none"/>
              </w:rPr>
            </w:pPr>
            <w:r>
              <w:rPr>
                <w:rFonts w:hint="eastAsia"/>
                <w:color w:val="auto"/>
                <w:szCs w:val="21"/>
                <w:highlight w:val="none"/>
              </w:rPr>
              <w:t>/</w:t>
            </w:r>
          </w:p>
        </w:tc>
      </w:tr>
      <w:tr w14:paraId="7CAE79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23" w:type="pct"/>
            <w:vAlign w:val="center"/>
          </w:tcPr>
          <w:p w14:paraId="3B5A90F4">
            <w:pPr>
              <w:adjustRightInd w:val="0"/>
              <w:snapToGrid w:val="0"/>
              <w:jc w:val="center"/>
              <w:rPr>
                <w:color w:val="auto"/>
                <w:szCs w:val="21"/>
                <w:highlight w:val="none"/>
              </w:rPr>
            </w:pPr>
            <w:r>
              <w:rPr>
                <w:color w:val="auto"/>
                <w:szCs w:val="21"/>
                <w:highlight w:val="none"/>
              </w:rPr>
              <w:t>电磁环境</w:t>
            </w:r>
          </w:p>
        </w:tc>
        <w:tc>
          <w:tcPr>
            <w:tcW w:w="1969" w:type="pct"/>
            <w:vAlign w:val="center"/>
          </w:tcPr>
          <w:p w14:paraId="1C77C4AC">
            <w:pPr>
              <w:adjustRightInd w:val="0"/>
              <w:snapToGrid w:val="0"/>
              <w:jc w:val="center"/>
              <w:rPr>
                <w:color w:val="auto"/>
                <w:szCs w:val="21"/>
                <w:highlight w:val="none"/>
              </w:rPr>
            </w:pPr>
            <w:r>
              <w:rPr>
                <w:rFonts w:eastAsia="黑体"/>
                <w:color w:val="auto"/>
                <w:szCs w:val="21"/>
                <w:highlight w:val="none"/>
              </w:rPr>
              <w:t>/</w:t>
            </w:r>
          </w:p>
        </w:tc>
        <w:tc>
          <w:tcPr>
            <w:tcW w:w="1048" w:type="pct"/>
            <w:vAlign w:val="center"/>
          </w:tcPr>
          <w:p w14:paraId="39C0CE68">
            <w:pPr>
              <w:adjustRightInd w:val="0"/>
              <w:snapToGrid w:val="0"/>
              <w:jc w:val="center"/>
              <w:rPr>
                <w:color w:val="auto"/>
                <w:szCs w:val="21"/>
                <w:highlight w:val="none"/>
              </w:rPr>
            </w:pPr>
            <w:r>
              <w:rPr>
                <w:rFonts w:eastAsia="黑体"/>
                <w:color w:val="auto"/>
                <w:szCs w:val="21"/>
                <w:highlight w:val="none"/>
              </w:rPr>
              <w:t>/</w:t>
            </w:r>
          </w:p>
        </w:tc>
        <w:tc>
          <w:tcPr>
            <w:tcW w:w="813" w:type="pct"/>
            <w:vAlign w:val="center"/>
          </w:tcPr>
          <w:p w14:paraId="34BB300B">
            <w:pPr>
              <w:adjustRightInd w:val="0"/>
              <w:snapToGrid w:val="0"/>
              <w:jc w:val="center"/>
              <w:rPr>
                <w:color w:val="auto"/>
                <w:szCs w:val="21"/>
                <w:highlight w:val="none"/>
              </w:rPr>
            </w:pPr>
            <w:r>
              <w:rPr>
                <w:rFonts w:eastAsia="黑体"/>
                <w:color w:val="auto"/>
                <w:szCs w:val="21"/>
                <w:highlight w:val="none"/>
              </w:rPr>
              <w:t>/</w:t>
            </w:r>
          </w:p>
        </w:tc>
        <w:tc>
          <w:tcPr>
            <w:tcW w:w="545" w:type="pct"/>
            <w:vAlign w:val="center"/>
          </w:tcPr>
          <w:p w14:paraId="0C2EDBAF">
            <w:pPr>
              <w:adjustRightInd w:val="0"/>
              <w:snapToGrid w:val="0"/>
              <w:jc w:val="center"/>
              <w:rPr>
                <w:color w:val="auto"/>
                <w:szCs w:val="21"/>
                <w:highlight w:val="none"/>
              </w:rPr>
            </w:pPr>
            <w:r>
              <w:rPr>
                <w:rFonts w:eastAsia="黑体"/>
                <w:color w:val="auto"/>
                <w:szCs w:val="21"/>
                <w:highlight w:val="none"/>
              </w:rPr>
              <w:t>/</w:t>
            </w:r>
          </w:p>
        </w:tc>
      </w:tr>
      <w:tr w14:paraId="03E3E3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623" w:type="pct"/>
            <w:vAlign w:val="center"/>
          </w:tcPr>
          <w:p w14:paraId="4C6C954F">
            <w:pPr>
              <w:adjustRightInd w:val="0"/>
              <w:snapToGrid w:val="0"/>
              <w:jc w:val="center"/>
              <w:rPr>
                <w:color w:val="auto"/>
                <w:szCs w:val="21"/>
                <w:highlight w:val="none"/>
              </w:rPr>
            </w:pPr>
            <w:r>
              <w:rPr>
                <w:color w:val="auto"/>
                <w:szCs w:val="21"/>
                <w:highlight w:val="none"/>
              </w:rPr>
              <w:t>环境风险</w:t>
            </w:r>
          </w:p>
        </w:tc>
        <w:tc>
          <w:tcPr>
            <w:tcW w:w="1969" w:type="pct"/>
            <w:vAlign w:val="center"/>
          </w:tcPr>
          <w:p w14:paraId="7CA8D43B">
            <w:pPr>
              <w:adjustRightInd w:val="0"/>
              <w:snapToGrid w:val="0"/>
              <w:jc w:val="center"/>
              <w:rPr>
                <w:rFonts w:hint="eastAsia" w:eastAsia="宋体"/>
                <w:color w:val="auto"/>
                <w:szCs w:val="21"/>
                <w:highlight w:val="none"/>
                <w:lang w:eastAsia="zh-CN"/>
              </w:rPr>
            </w:pPr>
            <w:r>
              <w:rPr>
                <w:rFonts w:hint="eastAsia"/>
                <w:color w:val="auto"/>
                <w:szCs w:val="21"/>
                <w:highlight w:val="none"/>
              </w:rPr>
              <w:t>施工区域施工人员野外作业必然带来野外火源管理的压力，必须把火的管理放在首要位置，常抓不懈，杜绝一切隐患。积极贯彻《森林防火条例》，加强防火宣传教育，时时敲响防火警钟，禁止在区域内附近吸烟和生火，做好生活和生产用火的火源管理，建立施工区防火及火警警报系统和管理制度，明确责任制最大程度避免发生火灾。</w:t>
            </w:r>
            <w:r>
              <w:rPr>
                <w:rFonts w:hint="eastAsia"/>
                <w:color w:val="auto"/>
                <w:highlight w:val="none"/>
              </w:rPr>
              <w:t>施工期施工现场不设置油料储存装置，所需油料即用即购，</w:t>
            </w:r>
            <w:r>
              <w:rPr>
                <w:rFonts w:hint="eastAsia"/>
                <w:color w:val="auto"/>
                <w:szCs w:val="21"/>
                <w:highlight w:val="none"/>
              </w:rPr>
              <w:t>施工期油料机械用油泄露、火灾、爆炸风险防范措施主要为：根据危险品储运过程中的有关规定，油料在运输过程中必须严格遵守危险货物运输的有关规定，如在运输过程中危险货物的标志要醒目，采用统一的标志图徽。油料使用应满足相关安全生产规范要求。加强安全防护宣传与监督管理，严格执行操作。</w:t>
            </w:r>
          </w:p>
        </w:tc>
        <w:tc>
          <w:tcPr>
            <w:tcW w:w="1048" w:type="pct"/>
            <w:vAlign w:val="center"/>
          </w:tcPr>
          <w:p w14:paraId="73E2E825">
            <w:pPr>
              <w:adjustRightInd w:val="0"/>
              <w:snapToGrid w:val="0"/>
              <w:jc w:val="center"/>
              <w:rPr>
                <w:color w:val="auto"/>
                <w:szCs w:val="21"/>
                <w:highlight w:val="none"/>
              </w:rPr>
            </w:pPr>
            <w:r>
              <w:rPr>
                <w:rFonts w:hint="eastAsia"/>
                <w:color w:val="auto"/>
                <w:szCs w:val="21"/>
                <w:highlight w:val="none"/>
                <w:lang w:val="en-US" w:eastAsia="zh-CN"/>
              </w:rPr>
              <w:t>满足本报告提出的风险防范措施要求</w:t>
            </w:r>
          </w:p>
        </w:tc>
        <w:tc>
          <w:tcPr>
            <w:tcW w:w="813" w:type="pct"/>
            <w:vAlign w:val="center"/>
          </w:tcPr>
          <w:p w14:paraId="62F0D870">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545" w:type="pct"/>
            <w:vAlign w:val="center"/>
          </w:tcPr>
          <w:p w14:paraId="4CAC2A69">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4BB937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623" w:type="pct"/>
            <w:vAlign w:val="center"/>
          </w:tcPr>
          <w:p w14:paraId="5893BCB0">
            <w:pPr>
              <w:adjustRightInd w:val="0"/>
              <w:snapToGrid w:val="0"/>
              <w:jc w:val="center"/>
              <w:rPr>
                <w:color w:val="auto"/>
                <w:szCs w:val="21"/>
                <w:highlight w:val="none"/>
              </w:rPr>
            </w:pPr>
            <w:r>
              <w:rPr>
                <w:color w:val="auto"/>
                <w:szCs w:val="21"/>
                <w:highlight w:val="none"/>
              </w:rPr>
              <w:t>环境监测</w:t>
            </w:r>
          </w:p>
        </w:tc>
        <w:tc>
          <w:tcPr>
            <w:tcW w:w="1969" w:type="pct"/>
            <w:vAlign w:val="center"/>
          </w:tcPr>
          <w:p w14:paraId="36BAA339">
            <w:pPr>
              <w:adjustRightInd w:val="0"/>
              <w:snapToGrid w:val="0"/>
              <w:rPr>
                <w:color w:val="auto"/>
                <w:szCs w:val="21"/>
                <w:highlight w:val="none"/>
              </w:rPr>
            </w:pPr>
            <w:r>
              <w:rPr>
                <w:color w:val="auto"/>
                <w:highlight w:val="none"/>
                <w:lang w:val="zh-CN"/>
              </w:rPr>
              <w:t>对</w:t>
            </w:r>
            <w:r>
              <w:rPr>
                <w:rFonts w:hint="eastAsia"/>
                <w:color w:val="auto"/>
                <w:highlight w:val="none"/>
                <w:lang w:val="en-US" w:eastAsia="zh-CN"/>
              </w:rPr>
              <w:t>水环境、</w:t>
            </w:r>
            <w:r>
              <w:rPr>
                <w:color w:val="auto"/>
                <w:highlight w:val="none"/>
                <w:lang w:val="zh-CN"/>
              </w:rPr>
              <w:t>扬尘、施工场界噪声</w:t>
            </w:r>
            <w:r>
              <w:rPr>
                <w:rFonts w:hint="eastAsia"/>
                <w:color w:val="auto"/>
                <w:highlight w:val="none"/>
                <w:lang w:val="en-US" w:eastAsia="zh-CN"/>
              </w:rPr>
              <w:t>陆生生态、水生生态</w:t>
            </w:r>
            <w:r>
              <w:rPr>
                <w:color w:val="auto"/>
                <w:highlight w:val="none"/>
                <w:lang w:val="zh-CN"/>
              </w:rPr>
              <w:t>进行监测</w:t>
            </w:r>
            <w:r>
              <w:rPr>
                <w:rFonts w:hint="eastAsia"/>
                <w:color w:val="auto"/>
                <w:highlight w:val="none"/>
                <w:lang w:val="zh-CN"/>
              </w:rPr>
              <w:t>。</w:t>
            </w:r>
          </w:p>
        </w:tc>
        <w:tc>
          <w:tcPr>
            <w:tcW w:w="1048" w:type="pct"/>
            <w:vAlign w:val="center"/>
          </w:tcPr>
          <w:p w14:paraId="3114A224">
            <w:pPr>
              <w:adjustRightInd w:val="0"/>
              <w:snapToGrid w:val="0"/>
              <w:rPr>
                <w:color w:val="auto"/>
                <w:szCs w:val="21"/>
                <w:highlight w:val="none"/>
              </w:rPr>
            </w:pPr>
            <w:r>
              <w:rPr>
                <w:color w:val="auto"/>
                <w:highlight w:val="none"/>
                <w:lang w:val="zh-CN"/>
              </w:rPr>
              <w:t>落实相关监测计划</w:t>
            </w:r>
          </w:p>
        </w:tc>
        <w:tc>
          <w:tcPr>
            <w:tcW w:w="813" w:type="pct"/>
            <w:vAlign w:val="center"/>
          </w:tcPr>
          <w:p w14:paraId="7F9D1026">
            <w:pPr>
              <w:adjustRightInd w:val="0"/>
              <w:snapToGrid w:val="0"/>
              <w:jc w:val="center"/>
              <w:rPr>
                <w:color w:val="auto"/>
                <w:szCs w:val="21"/>
                <w:highlight w:val="none"/>
              </w:rPr>
            </w:pPr>
            <w:r>
              <w:rPr>
                <w:rFonts w:eastAsia="黑体"/>
                <w:color w:val="auto"/>
                <w:szCs w:val="21"/>
                <w:highlight w:val="none"/>
              </w:rPr>
              <w:t>/</w:t>
            </w:r>
          </w:p>
        </w:tc>
        <w:tc>
          <w:tcPr>
            <w:tcW w:w="545" w:type="pct"/>
            <w:vAlign w:val="center"/>
          </w:tcPr>
          <w:p w14:paraId="4781702D">
            <w:pPr>
              <w:adjustRightInd w:val="0"/>
              <w:snapToGrid w:val="0"/>
              <w:jc w:val="center"/>
              <w:rPr>
                <w:color w:val="auto"/>
                <w:szCs w:val="21"/>
                <w:highlight w:val="none"/>
              </w:rPr>
            </w:pPr>
            <w:r>
              <w:rPr>
                <w:rFonts w:eastAsia="黑体"/>
                <w:color w:val="auto"/>
                <w:szCs w:val="21"/>
                <w:highlight w:val="none"/>
              </w:rPr>
              <w:t>/</w:t>
            </w:r>
          </w:p>
        </w:tc>
      </w:tr>
      <w:tr w14:paraId="343072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63" w:hRule="atLeast"/>
          <w:jc w:val="center"/>
        </w:trPr>
        <w:tc>
          <w:tcPr>
            <w:tcW w:w="623" w:type="pct"/>
            <w:vAlign w:val="center"/>
          </w:tcPr>
          <w:p w14:paraId="1B898857">
            <w:pPr>
              <w:adjustRightInd w:val="0"/>
              <w:snapToGrid w:val="0"/>
              <w:jc w:val="center"/>
              <w:rPr>
                <w:color w:val="auto"/>
                <w:szCs w:val="21"/>
                <w:highlight w:val="none"/>
              </w:rPr>
            </w:pPr>
            <w:r>
              <w:rPr>
                <w:color w:val="auto"/>
                <w:szCs w:val="21"/>
                <w:highlight w:val="none"/>
              </w:rPr>
              <w:t>其他</w:t>
            </w:r>
          </w:p>
        </w:tc>
        <w:tc>
          <w:tcPr>
            <w:tcW w:w="1969" w:type="pct"/>
            <w:vAlign w:val="center"/>
          </w:tcPr>
          <w:p w14:paraId="06402F46">
            <w:pPr>
              <w:adjustRightInd w:val="0"/>
              <w:snapToGrid w:val="0"/>
              <w:jc w:val="center"/>
              <w:rPr>
                <w:color w:val="auto"/>
                <w:szCs w:val="21"/>
                <w:highlight w:val="none"/>
              </w:rPr>
            </w:pPr>
            <w:r>
              <w:rPr>
                <w:color w:val="auto"/>
                <w:highlight w:val="none"/>
              </w:rPr>
              <w:t>在施工人员进驻前进行一次清理消毒，为施工人员提供良好的居住及卫生条件；施工期间要做好环境卫生防疫工作</w:t>
            </w:r>
            <w:r>
              <w:rPr>
                <w:rFonts w:hint="eastAsia"/>
                <w:color w:val="auto"/>
                <w:highlight w:val="none"/>
              </w:rPr>
              <w:t>。施工前应作详细计划，尽量减少开挖面，以减少植被的破坏。建设单位及施工单位应当重视施工过程的环境保护，加强对施工人员的环保培训，尽量减少土地的开挖量，减少对土地的占用，将对陆生生态影响降到最低。项目堤防加固、堤防护坡，可将项目区植被覆盖率有所提高，改善区域生态环境。应加强宣传、教育，强化其保护环境的意识，文明施工，达到工程建设和环境保护的同步发展。</w:t>
            </w:r>
          </w:p>
        </w:tc>
        <w:tc>
          <w:tcPr>
            <w:tcW w:w="1048" w:type="pct"/>
            <w:vAlign w:val="center"/>
          </w:tcPr>
          <w:p w14:paraId="676256B6">
            <w:pPr>
              <w:adjustRightInd w:val="0"/>
              <w:snapToGrid w:val="0"/>
              <w:jc w:val="center"/>
              <w:rPr>
                <w:color w:val="auto"/>
                <w:szCs w:val="21"/>
                <w:highlight w:val="none"/>
              </w:rPr>
            </w:pPr>
            <w:r>
              <w:rPr>
                <w:rFonts w:hint="eastAsia"/>
                <w:color w:val="auto"/>
                <w:highlight w:val="none"/>
              </w:rPr>
              <w:t>/</w:t>
            </w:r>
          </w:p>
        </w:tc>
        <w:tc>
          <w:tcPr>
            <w:tcW w:w="813" w:type="pct"/>
            <w:vAlign w:val="center"/>
          </w:tcPr>
          <w:p w14:paraId="42A56C7E">
            <w:pPr>
              <w:adjustRightInd w:val="0"/>
              <w:snapToGrid w:val="0"/>
              <w:jc w:val="center"/>
              <w:rPr>
                <w:color w:val="auto"/>
                <w:highlight w:val="none"/>
              </w:rPr>
            </w:pPr>
            <w:r>
              <w:rPr>
                <w:rFonts w:hint="eastAsia"/>
                <w:color w:val="auto"/>
                <w:highlight w:val="none"/>
              </w:rPr>
              <w:t>运营期加强巡查管护工作</w:t>
            </w:r>
          </w:p>
        </w:tc>
        <w:tc>
          <w:tcPr>
            <w:tcW w:w="545" w:type="pct"/>
            <w:vAlign w:val="center"/>
          </w:tcPr>
          <w:p w14:paraId="5F3FF896">
            <w:pPr>
              <w:adjustRightInd w:val="0"/>
              <w:snapToGrid w:val="0"/>
              <w:jc w:val="center"/>
              <w:rPr>
                <w:color w:val="auto"/>
                <w:szCs w:val="21"/>
                <w:highlight w:val="none"/>
              </w:rPr>
            </w:pPr>
            <w:r>
              <w:rPr>
                <w:rFonts w:eastAsia="黑体"/>
                <w:color w:val="auto"/>
                <w:szCs w:val="21"/>
                <w:highlight w:val="none"/>
              </w:rPr>
              <w:t>/</w:t>
            </w:r>
          </w:p>
        </w:tc>
      </w:tr>
    </w:tbl>
    <w:p w14:paraId="3D634E3B">
      <w:pPr>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br w:type="page"/>
      </w:r>
    </w:p>
    <w:p w14:paraId="707890AB">
      <w:pPr>
        <w:pStyle w:val="22"/>
        <w:keepNext w:val="0"/>
        <w:keepLines w:val="0"/>
        <w:pageBreakBefore w:val="0"/>
        <w:widowControl/>
        <w:kinsoku/>
        <w:wordWrap/>
        <w:overflowPunct/>
        <w:topLinePunct w:val="0"/>
        <w:autoSpaceDE/>
        <w:autoSpaceDN/>
        <w:bidi w:val="0"/>
        <w:adjustRightInd/>
        <w:snapToGrid/>
        <w:jc w:val="center"/>
        <w:textAlignment w:val="auto"/>
        <w:outlineLvl w:val="0"/>
        <w:rPr>
          <w:rFonts w:ascii="Times New Roman" w:hAnsi="Times New Roman" w:eastAsia="黑体"/>
          <w:snapToGrid w:val="0"/>
          <w:color w:val="auto"/>
          <w:sz w:val="30"/>
          <w:szCs w:val="30"/>
          <w:highlight w:val="none"/>
        </w:rPr>
      </w:pPr>
      <w:bookmarkStart w:id="44" w:name="_Toc22876"/>
      <w:r>
        <w:rPr>
          <w:rFonts w:ascii="Times New Roman" w:hAnsi="Times New Roman" w:eastAsia="黑体"/>
          <w:snapToGrid w:val="0"/>
          <w:color w:val="auto"/>
          <w:sz w:val="30"/>
          <w:szCs w:val="30"/>
          <w:highlight w:val="none"/>
        </w:rPr>
        <w:t>七、结论</w:t>
      </w:r>
      <w:bookmarkEnd w:id="44"/>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11C50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5000" w:type="pct"/>
          </w:tcPr>
          <w:p w14:paraId="72E088A8">
            <w:pPr>
              <w:pStyle w:val="56"/>
              <w:ind w:firstLine="420"/>
              <w:rPr>
                <w:color w:val="auto"/>
                <w:highlight w:val="none"/>
              </w:rPr>
            </w:pPr>
            <w:r>
              <w:rPr>
                <w:color w:val="auto"/>
                <w:highlight w:val="none"/>
              </w:rPr>
              <w:t>本项目建设项目符合国家产业政策要求，项目建设各个阶段在确保严格落实本报告表提出的污染物防治措施的前提下，对地表水环境、环境空气、声环境等的影响较小，可以被周围环境所接受，能够做到社会效益、经济效益和环境效益的统一。通过加强环境管理和环境监测，杜绝事故发生，本项目建设可被周围环境所接受。</w:t>
            </w:r>
          </w:p>
          <w:p w14:paraId="2AE79828">
            <w:pPr>
              <w:pStyle w:val="56"/>
              <w:ind w:firstLine="420"/>
              <w:rPr>
                <w:color w:val="auto"/>
                <w:highlight w:val="none"/>
              </w:rPr>
            </w:pPr>
            <w:r>
              <w:rPr>
                <w:color w:val="auto"/>
                <w:highlight w:val="none"/>
              </w:rPr>
              <w:t>因此，从环境保护角度分析，本项目</w:t>
            </w:r>
            <w:r>
              <w:rPr>
                <w:rFonts w:hint="eastAsia"/>
                <w:color w:val="auto"/>
                <w:highlight w:val="none"/>
              </w:rPr>
              <w:t>的建设具有</w:t>
            </w:r>
            <w:r>
              <w:rPr>
                <w:color w:val="auto"/>
                <w:highlight w:val="none"/>
              </w:rPr>
              <w:t>可行</w:t>
            </w:r>
            <w:r>
              <w:rPr>
                <w:rFonts w:hint="eastAsia"/>
                <w:color w:val="auto"/>
                <w:highlight w:val="none"/>
              </w:rPr>
              <w:t>性。</w:t>
            </w:r>
          </w:p>
        </w:tc>
      </w:tr>
    </w:tbl>
    <w:p w14:paraId="537F191A">
      <w:pPr>
        <w:rPr>
          <w:color w:val="FF0000"/>
          <w:highlight w:val="none"/>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46EB1176">
      <w:pPr>
        <w:pStyle w:val="22"/>
        <w:adjustRightInd w:val="0"/>
        <w:snapToGrid w:val="0"/>
        <w:spacing w:before="0" w:beforeAutospacing="0" w:after="0" w:afterAutospacing="0"/>
        <w:outlineLvl w:val="0"/>
        <w:rPr>
          <w:rFonts w:ascii="Times New Roman" w:hAnsi="Times New Roman" w:eastAsia="黑体"/>
          <w:snapToGrid w:val="0"/>
          <w:color w:val="auto"/>
          <w:sz w:val="32"/>
          <w:szCs w:val="32"/>
          <w:highlight w:val="none"/>
        </w:rPr>
      </w:pPr>
      <w:bookmarkStart w:id="45" w:name="_Toc14257"/>
      <w:r>
        <w:rPr>
          <w:rFonts w:ascii="Times New Roman" w:hAnsi="Times New Roman" w:eastAsia="黑体"/>
          <w:snapToGrid w:val="0"/>
          <w:color w:val="auto"/>
          <w:sz w:val="32"/>
          <w:szCs w:val="32"/>
          <w:highlight w:val="none"/>
        </w:rPr>
        <w:t>附图</w:t>
      </w:r>
      <w:bookmarkEnd w:id="45"/>
    </w:p>
    <w:p w14:paraId="4309B87B">
      <w:pPr>
        <w:pStyle w:val="22"/>
        <w:adjustRightInd w:val="0"/>
        <w:snapToGrid w:val="0"/>
        <w:spacing w:before="0" w:beforeAutospacing="0" w:after="0" w:afterAutospacing="0"/>
        <w:outlineLvl w:val="0"/>
        <w:rPr>
          <w:rFonts w:hint="eastAsia" w:ascii="Times New Roman" w:hAnsi="Times New Roman" w:eastAsia="黑体"/>
          <w:snapToGrid w:val="0"/>
          <w:color w:val="auto"/>
          <w:sz w:val="21"/>
          <w:szCs w:val="21"/>
          <w:highlight w:val="none"/>
          <w:lang w:eastAsia="zh-CN"/>
        </w:rPr>
      </w:pPr>
      <w:bookmarkStart w:id="46" w:name="_Toc19476"/>
      <w:r>
        <w:rPr>
          <w:rFonts w:ascii="Times New Roman" w:hAnsi="Times New Roman" w:eastAsia="黑体"/>
          <w:snapToGrid w:val="0"/>
          <w:color w:val="auto"/>
          <w:sz w:val="21"/>
          <w:szCs w:val="21"/>
          <w:highlight w:val="none"/>
        </w:rPr>
        <w:t>附图</w:t>
      </w:r>
      <w:r>
        <w:rPr>
          <w:rFonts w:hint="eastAsia" w:ascii="Times New Roman" w:hAnsi="Times New Roman" w:eastAsia="黑体"/>
          <w:snapToGrid w:val="0"/>
          <w:color w:val="auto"/>
          <w:sz w:val="21"/>
          <w:szCs w:val="21"/>
          <w:highlight w:val="none"/>
        </w:rPr>
        <w:t>1</w:t>
      </w:r>
      <w:r>
        <w:rPr>
          <w:rFonts w:ascii="Times New Roman" w:hAnsi="Times New Roman" w:eastAsia="黑体"/>
          <w:snapToGrid w:val="0"/>
          <w:color w:val="auto"/>
          <w:sz w:val="21"/>
          <w:szCs w:val="21"/>
          <w:highlight w:val="none"/>
        </w:rPr>
        <w:t xml:space="preserve"> </w:t>
      </w:r>
      <w:r>
        <w:rPr>
          <w:rFonts w:hint="eastAsia" w:ascii="Times New Roman" w:hAnsi="Times New Roman" w:eastAsia="黑体"/>
          <w:snapToGrid w:val="0"/>
          <w:color w:val="auto"/>
          <w:sz w:val="21"/>
          <w:szCs w:val="21"/>
          <w:highlight w:val="none"/>
        </w:rPr>
        <w:t>地理位置图</w:t>
      </w:r>
      <w:bookmarkEnd w:id="46"/>
    </w:p>
    <w:p w14:paraId="66F70DA3">
      <w:pPr>
        <w:pStyle w:val="55"/>
        <w:rPr>
          <w:color w:val="FF0000"/>
          <w:highlight w:val="none"/>
        </w:rPr>
      </w:pPr>
      <w:r>
        <w:rPr>
          <w:rFonts w:hint="default" w:ascii="Times New Roman" w:hAnsi="Times New Roman" w:cs="Times New Roman"/>
          <w:color w:val="000000"/>
          <w:sz w:val="21"/>
          <w:highlight w:val="none"/>
        </w:rPr>
        <mc:AlternateContent>
          <mc:Choice Requires="wps">
            <w:drawing>
              <wp:anchor distT="0" distB="0" distL="114300" distR="114300" simplePos="0" relativeHeight="251678720" behindDoc="0" locked="0" layoutInCell="1" allowOverlap="1">
                <wp:simplePos x="0" y="0"/>
                <wp:positionH relativeFrom="column">
                  <wp:posOffset>2733040</wp:posOffset>
                </wp:positionH>
                <wp:positionV relativeFrom="paragraph">
                  <wp:posOffset>63500</wp:posOffset>
                </wp:positionV>
                <wp:extent cx="894080" cy="263525"/>
                <wp:effectExtent l="4445" t="5080" r="15875" b="912495"/>
                <wp:wrapNone/>
                <wp:docPr id="50" name="矩形标注 50"/>
                <wp:cNvGraphicFramePr/>
                <a:graphic xmlns:a="http://schemas.openxmlformats.org/drawingml/2006/main">
                  <a:graphicData uri="http://schemas.microsoft.com/office/word/2010/wordprocessingShape">
                    <wps:wsp>
                      <wps:cNvSpPr/>
                      <wps:spPr>
                        <a:xfrm>
                          <a:off x="0" y="0"/>
                          <a:ext cx="894080" cy="263525"/>
                        </a:xfrm>
                        <a:prstGeom prst="wedgeRectCallout">
                          <a:avLst>
                            <a:gd name="adj1" fmla="val 31321"/>
                            <a:gd name="adj2" fmla="val 375301"/>
                          </a:avLst>
                        </a:prstGeom>
                        <a:solidFill>
                          <a:srgbClr val="FFFFFF"/>
                        </a:solidFill>
                        <a:ln w="9525" cap="flat" cmpd="sng">
                          <a:solidFill>
                            <a:srgbClr val="000000"/>
                          </a:solidFill>
                          <a:prstDash val="solid"/>
                          <a:miter/>
                          <a:headEnd type="none" w="med" len="med"/>
                          <a:tailEnd type="none" w="med" len="med"/>
                        </a:ln>
                      </wps:spPr>
                      <wps:txbx>
                        <w:txbxContent>
                          <w:p w14:paraId="0D00ADF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215.2pt;margin-top:5pt;height:20.75pt;width:70.4pt;z-index:251678720;mso-width-relative:page;mso-height-relative:page;" fillcolor="#FFFFFF" filled="t" stroked="t" coordsize="21600,21600" o:gfxdata="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AxbasNcAAAAJAQAADwAAAAAAAAABACAAAAAiAAAAZHJzL2Rvd25yZXYu&#10;eG1sUEsBAhQAFAAAAAgAh07iQLdUmFI1AgAAjgQAAA4AAAAAAAAAAQAgAAAAJgEAAGRycy9lMm9E&#10;b2MueG1sUEsFBgAAAAAGAAYAWQEAAM0FAAAAAA==&#10;" adj="17565,91865">
                <v:fill on="t" focussize="0,0"/>
                <v:stroke color="#000000" joinstyle="miter"/>
                <v:imagedata o:title=""/>
                <o:lock v:ext="edit" aspectratio="f"/>
                <v:textbox>
                  <w:txbxContent>
                    <w:p w14:paraId="0D00ADF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v:textbox>
              </v:shape>
            </w:pict>
          </mc:Fallback>
        </mc:AlternateContent>
      </w:r>
      <w:r>
        <w:rPr>
          <w:color w:val="FF0000"/>
          <w:highlight w:val="none"/>
        </w:rPr>
        <w:drawing>
          <wp:anchor distT="0" distB="0" distL="114300" distR="114300" simplePos="0" relativeHeight="251671552" behindDoc="0" locked="0" layoutInCell="1" allowOverlap="1">
            <wp:simplePos x="0" y="0"/>
            <wp:positionH relativeFrom="margin">
              <wp:posOffset>7653655</wp:posOffset>
            </wp:positionH>
            <wp:positionV relativeFrom="paragraph">
              <wp:posOffset>15875</wp:posOffset>
            </wp:positionV>
            <wp:extent cx="465455" cy="695325"/>
            <wp:effectExtent l="9525" t="9525" r="20320" b="19050"/>
            <wp:wrapNone/>
            <wp:docPr id="73" name="图片 73"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水系图"/>
                    <pic:cNvPicPr>
                      <a:picLocks noChangeAspect="1" noChangeArrowheads="1"/>
                    </pic:cNvPicPr>
                  </pic:nvPicPr>
                  <pic:blipFill>
                    <a:blip r:embed="rId15">
                      <a:extLst>
                        <a:ext uri="{28A0092B-C50C-407E-A947-70E740481C1C}">
                          <a14:useLocalDpi xmlns:a14="http://schemas.microsoft.com/office/drawing/2010/main" val="0"/>
                        </a:ext>
                      </a:extLst>
                    </a:blip>
                    <a:srcRect l="3503" t="7991" r="85626" b="66695"/>
                    <a:stretch>
                      <a:fillRect/>
                    </a:stretch>
                  </pic:blipFill>
                  <pic:spPr>
                    <a:xfrm>
                      <a:off x="0" y="0"/>
                      <a:ext cx="465455" cy="695325"/>
                    </a:xfrm>
                    <a:prstGeom prst="rect">
                      <a:avLst/>
                    </a:prstGeom>
                    <a:noFill/>
                    <a:ln w="9525" cmpd="sng">
                      <a:solidFill>
                        <a:srgbClr val="000000"/>
                      </a:solidFill>
                      <a:miter lim="800000"/>
                      <a:headEnd/>
                      <a:tailEnd/>
                    </a:ln>
                  </pic:spPr>
                </pic:pic>
              </a:graphicData>
            </a:graphic>
          </wp:anchor>
        </w:drawing>
      </w:r>
      <w:r>
        <w:rPr>
          <w:highlight w:val="none"/>
        </w:rPr>
        <w:drawing>
          <wp:inline distT="0" distB="0" distL="114300" distR="114300">
            <wp:extent cx="7439025" cy="4543425"/>
            <wp:effectExtent l="0" t="0" r="9525" b="952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16"/>
                    <a:stretch>
                      <a:fillRect/>
                    </a:stretch>
                  </pic:blipFill>
                  <pic:spPr>
                    <a:xfrm>
                      <a:off x="0" y="0"/>
                      <a:ext cx="7439025" cy="4543425"/>
                    </a:xfrm>
                    <a:prstGeom prst="rect">
                      <a:avLst/>
                    </a:prstGeom>
                    <a:noFill/>
                    <a:ln>
                      <a:noFill/>
                    </a:ln>
                  </pic:spPr>
                </pic:pic>
              </a:graphicData>
            </a:graphic>
          </wp:inline>
        </w:drawing>
      </w:r>
    </w:p>
    <w:p w14:paraId="459392CA">
      <w:pPr>
        <w:rPr>
          <w:color w:val="FF0000"/>
          <w:highlight w:val="none"/>
        </w:rPr>
        <w:sectPr>
          <w:pgSz w:w="16838" w:h="11906" w:orient="landscape"/>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08719CA4">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47" w:name="_Toc11576"/>
      <w:r>
        <w:rPr>
          <w:rFonts w:ascii="Times New Roman" w:hAnsi="Times New Roman" w:eastAsia="黑体"/>
          <w:snapToGrid w:val="0"/>
          <w:color w:val="auto"/>
          <w:sz w:val="21"/>
          <w:szCs w:val="21"/>
          <w:highlight w:val="none"/>
        </w:rPr>
        <w:t xml:space="preserve">附图2 </w:t>
      </w:r>
      <w:r>
        <w:rPr>
          <w:rFonts w:hint="eastAsia" w:ascii="Times New Roman" w:hAnsi="Times New Roman" w:eastAsia="黑体"/>
          <w:snapToGrid w:val="0"/>
          <w:color w:val="auto"/>
          <w:sz w:val="21"/>
          <w:szCs w:val="21"/>
          <w:highlight w:val="none"/>
        </w:rPr>
        <w:t>生态环境管控单元分布图</w:t>
      </w:r>
      <w:bookmarkEnd w:id="47"/>
    </w:p>
    <w:p w14:paraId="0992EE90">
      <w:pPr>
        <w:pStyle w:val="55"/>
        <w:keepNext w:val="0"/>
        <w:keepLines w:val="0"/>
        <w:pageBreakBefore w:val="0"/>
        <w:widowControl w:val="0"/>
        <w:kinsoku/>
        <w:wordWrap/>
        <w:overflowPunct/>
        <w:topLinePunct w:val="0"/>
        <w:autoSpaceDE/>
        <w:autoSpaceDN/>
        <w:bidi w:val="0"/>
        <w:adjustRightInd/>
        <w:snapToGrid/>
        <w:textAlignment w:val="auto"/>
        <w:rPr>
          <w:color w:val="FF0000"/>
          <w:highlight w:val="none"/>
        </w:rPr>
      </w:pPr>
      <w:r>
        <w:rPr>
          <w:rFonts w:hint="default" w:ascii="Times New Roman" w:hAnsi="Times New Roman" w:cs="Times New Roman"/>
          <w:color w:val="000000"/>
          <w:sz w:val="21"/>
          <w:highlight w:val="none"/>
        </w:rPr>
        <mc:AlternateContent>
          <mc:Choice Requires="wps">
            <w:drawing>
              <wp:anchor distT="0" distB="0" distL="114300" distR="114300" simplePos="0" relativeHeight="251677696" behindDoc="0" locked="0" layoutInCell="1" allowOverlap="1">
                <wp:simplePos x="0" y="0"/>
                <wp:positionH relativeFrom="column">
                  <wp:posOffset>5523865</wp:posOffset>
                </wp:positionH>
                <wp:positionV relativeFrom="paragraph">
                  <wp:posOffset>3128010</wp:posOffset>
                </wp:positionV>
                <wp:extent cx="894080" cy="263525"/>
                <wp:effectExtent l="4445" t="936625" r="15875" b="19050"/>
                <wp:wrapNone/>
                <wp:docPr id="12" name="矩形标注 12"/>
                <wp:cNvGraphicFramePr/>
                <a:graphic xmlns:a="http://schemas.openxmlformats.org/drawingml/2006/main">
                  <a:graphicData uri="http://schemas.microsoft.com/office/word/2010/wordprocessingShape">
                    <wps:wsp>
                      <wps:cNvSpPr/>
                      <wps:spPr>
                        <a:xfrm>
                          <a:off x="0" y="0"/>
                          <a:ext cx="894080" cy="263525"/>
                        </a:xfrm>
                        <a:prstGeom prst="wedgeRectCallout">
                          <a:avLst>
                            <a:gd name="adj1" fmla="val 29903"/>
                            <a:gd name="adj2" fmla="val -390958"/>
                          </a:avLst>
                        </a:prstGeom>
                        <a:solidFill>
                          <a:srgbClr val="FFFFFF"/>
                        </a:solidFill>
                        <a:ln w="9525" cap="flat" cmpd="sng">
                          <a:solidFill>
                            <a:srgbClr val="000000"/>
                          </a:solidFill>
                          <a:prstDash val="solid"/>
                          <a:miter/>
                          <a:headEnd type="none" w="med" len="med"/>
                          <a:tailEnd type="none" w="med" len="med"/>
                        </a:ln>
                      </wps:spPr>
                      <wps:txbx>
                        <w:txbxContent>
                          <w:p w14:paraId="66ABB7F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434.95pt;margin-top:246.3pt;height:20.75pt;width:70.4pt;z-index:251677696;mso-width-relative:page;mso-height-relative:page;" fillcolor="#FFFFFF" filled="t" stroked="t" coordsize="21600,21600" o:gfxdata="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w/PG52AAAAAwBAAAPAAAAAAAAAAEAIAAAACIAAABkcnMvZG93&#10;bnJldi54bWxQSwECFAAUAAAACACHTuJAkRFQezkCAACPBAAADgAAAAAAAAABACAAAAAnAQAAZHJz&#10;L2Uyb0RvYy54bWxQSwUGAAAAAAYABgBZAQAA0gUAAAAA&#10;" adj="17259,-73647">
                <v:fill on="t" focussize="0,0"/>
                <v:stroke color="#000000" joinstyle="miter"/>
                <v:imagedata o:title=""/>
                <o:lock v:ext="edit" aspectratio="f"/>
                <v:textbox>
                  <w:txbxContent>
                    <w:p w14:paraId="66ABB7F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000000"/>
          <w:highlight w:val="none"/>
          <w:vertAlign w:val="baseline"/>
          <w:lang w:val="en-US" w:eastAsia="zh-CN"/>
        </w:rPr>
        <w:drawing>
          <wp:inline distT="0" distB="0" distL="114300" distR="114300">
            <wp:extent cx="7709535" cy="4844415"/>
            <wp:effectExtent l="0" t="0" r="5715" b="13335"/>
            <wp:docPr id="9" name="图片 2" descr="双鸭山市环境管控单元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双鸭山市环境管控单元分布图"/>
                    <pic:cNvPicPr>
                      <a:picLocks noChangeAspect="1"/>
                    </pic:cNvPicPr>
                  </pic:nvPicPr>
                  <pic:blipFill>
                    <a:blip r:embed="rId17"/>
                    <a:stretch>
                      <a:fillRect/>
                    </a:stretch>
                  </pic:blipFill>
                  <pic:spPr>
                    <a:xfrm>
                      <a:off x="0" y="0"/>
                      <a:ext cx="7709535" cy="4844415"/>
                    </a:xfrm>
                    <a:prstGeom prst="rect">
                      <a:avLst/>
                    </a:prstGeom>
                    <a:noFill/>
                    <a:ln>
                      <a:noFill/>
                    </a:ln>
                  </pic:spPr>
                </pic:pic>
              </a:graphicData>
            </a:graphic>
          </wp:inline>
        </w:drawing>
      </w:r>
    </w:p>
    <w:p w14:paraId="7A78DBEA">
      <w:pPr>
        <w:jc w:val="center"/>
        <w:rPr>
          <w:color w:val="FF0000"/>
          <w:highlight w:val="none"/>
        </w:rPr>
        <w:sectPr>
          <w:pgSz w:w="16838" w:h="11906" w:orient="landscape"/>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1C97E76E">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48" w:name="_Toc27023"/>
      <w:r>
        <w:rPr>
          <w:rFonts w:ascii="Times New Roman" w:hAnsi="Times New Roman" w:eastAsia="黑体"/>
          <w:snapToGrid w:val="0"/>
          <w:color w:val="auto"/>
          <w:sz w:val="21"/>
          <w:szCs w:val="21"/>
          <w:highlight w:val="none"/>
        </w:rPr>
        <w:t xml:space="preserve">附图3 </w:t>
      </w:r>
      <w:r>
        <w:rPr>
          <w:rFonts w:hint="eastAsia" w:ascii="Times New Roman" w:hAnsi="Times New Roman" w:eastAsia="黑体"/>
          <w:snapToGrid w:val="0"/>
          <w:color w:val="auto"/>
          <w:sz w:val="21"/>
          <w:szCs w:val="21"/>
          <w:highlight w:val="none"/>
        </w:rPr>
        <w:t>工程总体布置图</w:t>
      </w:r>
      <w:bookmarkEnd w:id="48"/>
    </w:p>
    <w:p w14:paraId="37D5B2C9">
      <w:pPr>
        <w:pStyle w:val="63"/>
        <w:ind w:firstLine="0" w:firstLineChars="0"/>
        <w:rPr>
          <w:rFonts w:hint="eastAsia" w:eastAsia="黑体"/>
          <w:snapToGrid w:val="0"/>
          <w:color w:val="FF0000"/>
          <w:highlight w:val="none"/>
          <w:lang w:eastAsia="zh-CN"/>
        </w:rPr>
        <w:sectPr>
          <w:pgSz w:w="16838" w:h="11906" w:orient="landscape"/>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eastAsia" w:eastAsia="宋体"/>
          <w:color w:val="auto"/>
          <w:highlight w:val="none"/>
          <w:lang w:eastAsia="zh-CN"/>
        </w:rPr>
        <w:drawing>
          <wp:inline distT="0" distB="0" distL="114300" distR="114300">
            <wp:extent cx="8854440" cy="4737100"/>
            <wp:effectExtent l="0" t="0" r="3810" b="6350"/>
            <wp:docPr id="1" name="图片 2" descr="大岱河占地范围-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大岱河占地范围-Model"/>
                    <pic:cNvPicPr>
                      <a:picLocks noChangeAspect="1"/>
                    </pic:cNvPicPr>
                  </pic:nvPicPr>
                  <pic:blipFill>
                    <a:blip r:embed="rId18"/>
                    <a:stretch>
                      <a:fillRect/>
                    </a:stretch>
                  </pic:blipFill>
                  <pic:spPr>
                    <a:xfrm>
                      <a:off x="0" y="0"/>
                      <a:ext cx="8854440" cy="4737100"/>
                    </a:xfrm>
                    <a:prstGeom prst="rect">
                      <a:avLst/>
                    </a:prstGeom>
                    <a:noFill/>
                    <a:ln>
                      <a:noFill/>
                    </a:ln>
                  </pic:spPr>
                </pic:pic>
              </a:graphicData>
            </a:graphic>
          </wp:inline>
        </w:drawing>
      </w:r>
      <w:r>
        <w:rPr>
          <w:color w:val="FF0000"/>
          <w:highlight w:val="none"/>
        </w:rPr>
        <w:t xml:space="preserve"> </w:t>
      </w:r>
      <w:r>
        <w:rPr>
          <w:highlight w:val="none"/>
        </w:rPr>
        <w:drawing>
          <wp:inline distT="0" distB="0" distL="114300" distR="114300">
            <wp:extent cx="8007985" cy="5698490"/>
            <wp:effectExtent l="0" t="0" r="12065" b="1651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19"/>
                    <a:stretch>
                      <a:fillRect/>
                    </a:stretch>
                  </pic:blipFill>
                  <pic:spPr>
                    <a:xfrm>
                      <a:off x="0" y="0"/>
                      <a:ext cx="8007985" cy="5698490"/>
                    </a:xfrm>
                    <a:prstGeom prst="rect">
                      <a:avLst/>
                    </a:prstGeom>
                    <a:noFill/>
                    <a:ln>
                      <a:noFill/>
                    </a:ln>
                  </pic:spPr>
                </pic:pic>
              </a:graphicData>
            </a:graphic>
          </wp:inline>
        </w:drawing>
      </w:r>
    </w:p>
    <w:p w14:paraId="0E4A3A08">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49" w:name="_Toc9522"/>
      <w:r>
        <w:rPr>
          <w:color w:val="auto"/>
          <w:highlight w:val="none"/>
        </w:rPr>
        <w:drawing>
          <wp:anchor distT="0" distB="0" distL="114300" distR="114300" simplePos="0" relativeHeight="251670528" behindDoc="0" locked="0" layoutInCell="1" allowOverlap="1">
            <wp:simplePos x="0" y="0"/>
            <wp:positionH relativeFrom="margin">
              <wp:posOffset>7882255</wp:posOffset>
            </wp:positionH>
            <wp:positionV relativeFrom="paragraph">
              <wp:posOffset>170815</wp:posOffset>
            </wp:positionV>
            <wp:extent cx="647065" cy="966470"/>
            <wp:effectExtent l="19050" t="19050" r="19685" b="24130"/>
            <wp:wrapNone/>
            <wp:docPr id="30" name="图片 30"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水系图"/>
                    <pic:cNvPicPr>
                      <a:picLocks noChangeAspect="1" noChangeArrowheads="1"/>
                    </pic:cNvPicPr>
                  </pic:nvPicPr>
                  <pic:blipFill>
                    <a:blip r:embed="rId15">
                      <a:extLst>
                        <a:ext uri="{28A0092B-C50C-407E-A947-70E740481C1C}">
                          <a14:useLocalDpi xmlns:a14="http://schemas.microsoft.com/office/drawing/2010/main" val="0"/>
                        </a:ext>
                      </a:extLst>
                    </a:blip>
                    <a:srcRect l="3503" t="7991" r="85626" b="66695"/>
                    <a:stretch>
                      <a:fillRect/>
                    </a:stretch>
                  </pic:blipFill>
                  <pic:spPr>
                    <a:xfrm>
                      <a:off x="0" y="0"/>
                      <a:ext cx="647065" cy="966470"/>
                    </a:xfrm>
                    <a:prstGeom prst="rect">
                      <a:avLst/>
                    </a:prstGeom>
                    <a:noFill/>
                    <a:ln w="9525" cmpd="sng">
                      <a:solidFill>
                        <a:srgbClr val="000000"/>
                      </a:solidFill>
                      <a:miter lim="800000"/>
                      <a:headEnd/>
                      <a:tailEnd/>
                    </a:ln>
                  </pic:spPr>
                </pic:pic>
              </a:graphicData>
            </a:graphic>
          </wp:anchor>
        </w:drawing>
      </w:r>
      <w:r>
        <w:rPr>
          <w:rFonts w:hint="eastAsia" w:ascii="Times New Roman" w:hAnsi="Times New Roman" w:eastAsia="黑体"/>
          <w:snapToGrid w:val="0"/>
          <w:color w:val="auto"/>
          <w:sz w:val="21"/>
          <w:szCs w:val="21"/>
          <w:highlight w:val="none"/>
        </w:rPr>
        <w:t>附图</w:t>
      </w:r>
      <w:r>
        <w:rPr>
          <w:rFonts w:ascii="Times New Roman" w:hAnsi="Times New Roman" w:eastAsia="黑体"/>
          <w:snapToGrid w:val="0"/>
          <w:color w:val="auto"/>
          <w:sz w:val="21"/>
          <w:szCs w:val="21"/>
          <w:highlight w:val="none"/>
        </w:rPr>
        <w:t>4</w:t>
      </w:r>
      <w:r>
        <w:rPr>
          <w:rFonts w:hint="eastAsia" w:ascii="Times New Roman" w:hAnsi="Times New Roman" w:eastAsia="黑体"/>
          <w:snapToGrid w:val="0"/>
          <w:color w:val="auto"/>
          <w:sz w:val="21"/>
          <w:szCs w:val="21"/>
          <w:highlight w:val="none"/>
        </w:rPr>
        <w:t xml:space="preserve"> 生态环境监测布点图</w:t>
      </w:r>
      <w:bookmarkEnd w:id="49"/>
    </w:p>
    <w:p w14:paraId="142550A0">
      <w:pPr>
        <w:bidi w:val="0"/>
        <w:rPr>
          <w:highlight w:val="none"/>
        </w:rPr>
      </w:pPr>
      <w:r>
        <w:rPr>
          <w:color w:val="FF0000"/>
          <w:highlight w:val="none"/>
        </w:rPr>
        <mc:AlternateContent>
          <mc:Choice Requires="wps">
            <w:drawing>
              <wp:anchor distT="0" distB="0" distL="114300" distR="114300" simplePos="0" relativeHeight="251663360" behindDoc="0" locked="0" layoutInCell="1" allowOverlap="1">
                <wp:simplePos x="0" y="0"/>
                <wp:positionH relativeFrom="column">
                  <wp:posOffset>938530</wp:posOffset>
                </wp:positionH>
                <wp:positionV relativeFrom="paragraph">
                  <wp:posOffset>1781810</wp:posOffset>
                </wp:positionV>
                <wp:extent cx="134620" cy="185420"/>
                <wp:effectExtent l="19050" t="19050" r="36830" b="43180"/>
                <wp:wrapNone/>
                <wp:docPr id="1169696340" name="直接连接符 1169696340"/>
                <wp:cNvGraphicFramePr/>
                <a:graphic xmlns:a="http://schemas.openxmlformats.org/drawingml/2006/main">
                  <a:graphicData uri="http://schemas.microsoft.com/office/word/2010/wordprocessingShape">
                    <wps:wsp>
                      <wps:cNvCnPr/>
                      <wps:spPr>
                        <a:xfrm flipV="1">
                          <a:off x="0" y="0"/>
                          <a:ext cx="134639" cy="185667"/>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73.9pt;margin-top:140.3pt;height:14.6pt;width:10.6pt;z-index:251663360;mso-width-relative:page;mso-height-relative:page;" filled="f" stroked="t" coordsize="21600,21600" o:gfxdata="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OfWUrXAAAACwEAAA8AAAAAAAAAAQAgAAAAIgAAAGRycy9kb3ducmV2&#10;LnhtbFBLAQIUABQAAAAIAIdO4kCaGUbm/QEAANIDAAAOAAAAAAAAAAEAIAAAACYBAABkcnMvZTJv&#10;RG9jLnhtbFBLBQYAAAAABgAGAFkBAACVBQAAAAA=&#10;">
                <v:fill on="f" focussize="0,0"/>
                <v:stroke weight="4.5pt" color="#0000FF [3204]" miterlimit="8" joinstyle="miter"/>
                <v:imagedata o:title=""/>
                <o:lock v:ext="edit" aspectratio="f"/>
              </v:line>
            </w:pict>
          </mc:Fallback>
        </mc:AlternateContent>
      </w:r>
      <w:r>
        <w:rPr>
          <w:color w:val="FF0000"/>
          <w:highlight w:val="none"/>
        </w:rPr>
        <mc:AlternateContent>
          <mc:Choice Requires="wps">
            <w:drawing>
              <wp:anchor distT="0" distB="0" distL="114300" distR="114300" simplePos="0" relativeHeight="251662336" behindDoc="0" locked="0" layoutInCell="1" allowOverlap="1">
                <wp:simplePos x="0" y="0"/>
                <wp:positionH relativeFrom="column">
                  <wp:posOffset>6057265</wp:posOffset>
                </wp:positionH>
                <wp:positionV relativeFrom="paragraph">
                  <wp:posOffset>3152140</wp:posOffset>
                </wp:positionV>
                <wp:extent cx="267335" cy="0"/>
                <wp:effectExtent l="19050" t="19050" r="18415" b="38100"/>
                <wp:wrapNone/>
                <wp:docPr id="981719463" name="直接连接符 981719463"/>
                <wp:cNvGraphicFramePr/>
                <a:graphic xmlns:a="http://schemas.openxmlformats.org/drawingml/2006/main">
                  <a:graphicData uri="http://schemas.microsoft.com/office/word/2010/wordprocessingShape">
                    <wps:wsp>
                      <wps:cNvCnPr/>
                      <wps:spPr>
                        <a:xfrm flipH="1" flipV="1">
                          <a:off x="0" y="0"/>
                          <a:ext cx="267553" cy="0"/>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476.95pt;margin-top:248.2pt;height:0pt;width:21.05pt;z-index:251662336;mso-width-relative:page;mso-height-relative:page;" filled="f" stroked="t" coordsize="21600,21600" o:gfxdata="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FGDMR1gAAAAsBAAAPAAAAAAAAAAEAIAAAACIAAABkcnMvZG93bnJldi54&#10;bWxQSwECFAAUAAAACACHTuJAw46+3PwBAADVAwAADgAAAAAAAAABACAAAAAlAQAAZHJzL2Uyb0Rv&#10;Yy54bWxQSwUGAAAAAAYABgBZAQAAkwUAAAAA&#10;">
                <v:fill on="f" focussize="0,0"/>
                <v:stroke weight="4.5pt" color="#0000FF [3204]" miterlimit="8" joinstyle="miter"/>
                <v:imagedata o:title=""/>
                <o:lock v:ext="edit" aspectratio="f"/>
              </v:line>
            </w:pict>
          </mc:Fallback>
        </mc:AlternateContent>
      </w:r>
      <w:r>
        <w:rPr>
          <w:color w:val="FF0000"/>
          <w:highlight w:val="none"/>
        </w:rPr>
        <mc:AlternateContent>
          <mc:Choice Requires="wps">
            <w:drawing>
              <wp:anchor distT="0" distB="0" distL="114300" distR="114300" simplePos="0" relativeHeight="251667456" behindDoc="0" locked="0" layoutInCell="1" allowOverlap="1">
                <wp:simplePos x="0" y="0"/>
                <wp:positionH relativeFrom="column">
                  <wp:posOffset>8002270</wp:posOffset>
                </wp:positionH>
                <wp:positionV relativeFrom="paragraph">
                  <wp:posOffset>4930140</wp:posOffset>
                </wp:positionV>
                <wp:extent cx="281940" cy="1270"/>
                <wp:effectExtent l="19050" t="19050" r="22860" b="55880"/>
                <wp:wrapNone/>
                <wp:docPr id="1013794712" name="直接连接符 1013794712"/>
                <wp:cNvGraphicFramePr/>
                <a:graphic xmlns:a="http://schemas.openxmlformats.org/drawingml/2006/main">
                  <a:graphicData uri="http://schemas.microsoft.com/office/word/2010/wordprocessingShape">
                    <wps:wsp>
                      <wps:cNvCnPr/>
                      <wps:spPr>
                        <a:xfrm flipH="1">
                          <a:off x="0" y="0"/>
                          <a:ext cx="281940" cy="1270"/>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630.1pt;margin-top:388.2pt;height:0.1pt;width:22.2pt;z-index:251667456;mso-width-relative:page;mso-height-relative:page;" filled="f" stroked="t" coordsize="21600,21600" o:gfxdata="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8Bwk89gAAAANAQAADwAAAAAAAAABACAAAAAiAAAAZHJzL2Rvd25yZXYu&#10;eG1sUEsBAhQAFAAAAAgAh07iQMit2L/7AQAA0AMAAA4AAAAAAAAAAQAgAAAAJwEAAGRycy9lMm9E&#10;b2MueG1sUEsFBgAAAAAGAAYAWQEAAJQFAAAAAA==&#10;">
                <v:fill on="f" focussize="0,0"/>
                <v:stroke weight="4.5pt" color="#0000FF [3204]" miterlimit="8" joinstyle="miter"/>
                <v:imagedata o:title=""/>
                <o:lock v:ext="edit" aspectratio="f"/>
              </v:line>
            </w:pict>
          </mc:Fallback>
        </mc:AlternateContent>
      </w:r>
      <w:r>
        <w:rPr>
          <w:color w:val="FF0000"/>
          <w:highlight w:val="none"/>
        </w:rPr>
        <mc:AlternateContent>
          <mc:Choice Requires="wps">
            <w:drawing>
              <wp:anchor distT="0" distB="0" distL="114300" distR="114300" simplePos="0" relativeHeight="251665408" behindDoc="0" locked="0" layoutInCell="1" allowOverlap="1">
                <wp:simplePos x="0" y="0"/>
                <wp:positionH relativeFrom="column">
                  <wp:posOffset>8041640</wp:posOffset>
                </wp:positionH>
                <wp:positionV relativeFrom="paragraph">
                  <wp:posOffset>4636770</wp:posOffset>
                </wp:positionV>
                <wp:extent cx="170180" cy="144780"/>
                <wp:effectExtent l="19050" t="19050" r="39370" b="26670"/>
                <wp:wrapNone/>
                <wp:docPr id="1486163252" name="等腰三角形 1486163252"/>
                <wp:cNvGraphicFramePr/>
                <a:graphic xmlns:a="http://schemas.openxmlformats.org/drawingml/2006/main">
                  <a:graphicData uri="http://schemas.microsoft.com/office/word/2010/wordprocessingShape">
                    <wps:wsp>
                      <wps:cNvSpPr/>
                      <wps:spPr>
                        <a:xfrm>
                          <a:off x="0" y="0"/>
                          <a:ext cx="170180" cy="14478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33.2pt;margin-top:365.1pt;height:11.4pt;width:13.4pt;z-index:251665408;v-text-anchor:middle;mso-width-relative:page;mso-height-relative:page;" fillcolor="#FF0000" filled="t" stroked="t" coordsize="21600,21600" o:gfxdata="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LdRDgTdAAAADQEA&#10;AA8AAAAAAAAAAQAgAAAAIgAAAGRycy9kb3ducmV2LnhtbFBLAQIUABQAAAAIAIdO4kB7qt2NhwIA&#10;ABIFAAAOAAAAAAAAAAEAIAAAACwBAABkcnMvZTJvRG9jLnhtbFBLBQYAAAAABgAGAFkBAAAlBgAA&#10;AAA=&#10;" adj="10800">
                <v:fill on="t" focussize="0,0"/>
                <v:stroke weight="1pt" color="#FF0000 [3204]" miterlimit="8"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672576" behindDoc="0" locked="0" layoutInCell="1" allowOverlap="1">
                <wp:simplePos x="0" y="0"/>
                <wp:positionH relativeFrom="column">
                  <wp:posOffset>4486910</wp:posOffset>
                </wp:positionH>
                <wp:positionV relativeFrom="paragraph">
                  <wp:posOffset>1517015</wp:posOffset>
                </wp:positionV>
                <wp:extent cx="170815" cy="144780"/>
                <wp:effectExtent l="19050" t="19050" r="39370" b="26670"/>
                <wp:wrapNone/>
                <wp:docPr id="102" name="等腰三角形 102"/>
                <wp:cNvGraphicFramePr/>
                <a:graphic xmlns:a="http://schemas.openxmlformats.org/drawingml/2006/main">
                  <a:graphicData uri="http://schemas.microsoft.com/office/word/2010/wordprocessingShape">
                    <wps:wsp>
                      <wps:cNvSpPr/>
                      <wps:spPr>
                        <a:xfrm>
                          <a:off x="0" y="0"/>
                          <a:ext cx="170731" cy="144852"/>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53.3pt;margin-top:119.45pt;height:11.4pt;width:13.45pt;z-index:251672576;v-text-anchor:middle;mso-width-relative:page;mso-height-relative:page;" fillcolor="#FF0000" filled="t" stroked="t" coordsize="21600,21600" o:gfxdata="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5tLN33AAAAAsBAAAPAAAAAAAA&#10;AAEAIAAAACIAAABkcnMvZG93bnJldi54bWxQSwECFAAUAAAACACHTuJA2+R1HoACAAAEBQAADgAA&#10;AAAAAAABACAAAAArAQAAZHJzL2Uyb0RvYy54bWxQSwUGAAAAAAYABgBZAQAAHQYAAAAA&#10;" adj="10800">
                <v:fill on="t" focussize="0,0"/>
                <v:stroke weight="1pt" color="#FF0000 [3204]" miterlimit="8"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660288" behindDoc="0" locked="0" layoutInCell="1" allowOverlap="1">
                <wp:simplePos x="0" y="0"/>
                <wp:positionH relativeFrom="column">
                  <wp:posOffset>2179955</wp:posOffset>
                </wp:positionH>
                <wp:positionV relativeFrom="paragraph">
                  <wp:posOffset>2104390</wp:posOffset>
                </wp:positionV>
                <wp:extent cx="170815" cy="144780"/>
                <wp:effectExtent l="19050" t="19050" r="39370" b="26670"/>
                <wp:wrapNone/>
                <wp:docPr id="37" name="等腰三角形 37"/>
                <wp:cNvGraphicFramePr/>
                <a:graphic xmlns:a="http://schemas.openxmlformats.org/drawingml/2006/main">
                  <a:graphicData uri="http://schemas.microsoft.com/office/word/2010/wordprocessingShape">
                    <wps:wsp>
                      <wps:cNvSpPr/>
                      <wps:spPr>
                        <a:xfrm>
                          <a:off x="0" y="0"/>
                          <a:ext cx="170731" cy="144852"/>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71.65pt;margin-top:165.7pt;height:11.4pt;width:13.45pt;z-index:251660288;v-text-anchor:middle;mso-width-relative:page;mso-height-relative:page;" fillcolor="#FF0000" filled="t" stroked="t" coordsize="21600,21600" o:gfxdata="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GBd2KNsAAAALAQAADwAAAAAAAAAB&#10;ACAAAAAiAAAAZHJzL2Rvd25yZXYueG1sUEsBAhQAFAAAAAgAh07iQPPLZ0l/AgAAAgUAAA4AAAAA&#10;AAAAAQAgAAAAKgEAAGRycy9lMm9Eb2MueG1sUEsFBgAAAAAGAAYAWQEAABsGAAAAAA==&#10;" adj="10800">
                <v:fill on="t" focussize="0,0"/>
                <v:stroke weight="1pt" color="#FF0000 [3204]" miterlimit="8"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666432" behindDoc="0" locked="0" layoutInCell="1" allowOverlap="1">
                <wp:simplePos x="0" y="0"/>
                <wp:positionH relativeFrom="column">
                  <wp:posOffset>8073390</wp:posOffset>
                </wp:positionH>
                <wp:positionV relativeFrom="paragraph">
                  <wp:posOffset>4485640</wp:posOffset>
                </wp:positionV>
                <wp:extent cx="104775" cy="99695"/>
                <wp:effectExtent l="0" t="0" r="28575" b="14605"/>
                <wp:wrapNone/>
                <wp:docPr id="1902942232" name="椭圆 1902942232"/>
                <wp:cNvGraphicFramePr/>
                <a:graphic xmlns:a="http://schemas.openxmlformats.org/drawingml/2006/main">
                  <a:graphicData uri="http://schemas.microsoft.com/office/word/2010/wordprocessingShape">
                    <wps:wsp>
                      <wps:cNvSpPr/>
                      <wps:spPr>
                        <a:xfrm>
                          <a:off x="0" y="0"/>
                          <a:ext cx="104775" cy="99695"/>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35.7pt;margin-top:353.2pt;height:7.85pt;width:8.25pt;z-index:251666432;v-text-anchor:middle;mso-width-relative:page;mso-height-relative:page;" fillcolor="#FFFF00" filled="t" stroked="t" coordsize="21600,21600" o:gfxdata="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7+NditsAAAANAQAADwAAAAAAAAABACAAAAAiAAAA&#10;ZHJzL2Rvd25yZXYueG1sUEsBAhQAFAAAAAgAh07iQLAd23h2AgAABwUAAA4AAAAAAAAAAQAgAAAA&#10;KgEAAGRycy9lMm9Eb2MueG1sUEsFBgAAAAAGAAYAWQEAABIGAAAAAA==&#10;">
                <v:fill on="t" focussize="0,0"/>
                <v:stroke weight="1pt" color="#FFFF00 [3204]" miterlimit="8"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673600" behindDoc="0" locked="0" layoutInCell="1" allowOverlap="1">
                <wp:simplePos x="0" y="0"/>
                <wp:positionH relativeFrom="margin">
                  <wp:posOffset>4671695</wp:posOffset>
                </wp:positionH>
                <wp:positionV relativeFrom="paragraph">
                  <wp:posOffset>1487170</wp:posOffset>
                </wp:positionV>
                <wp:extent cx="163830" cy="154940"/>
                <wp:effectExtent l="0" t="0" r="26670" b="16510"/>
                <wp:wrapNone/>
                <wp:docPr id="103" name="椭圆 103"/>
                <wp:cNvGraphicFramePr/>
                <a:graphic xmlns:a="http://schemas.openxmlformats.org/drawingml/2006/main">
                  <a:graphicData uri="http://schemas.microsoft.com/office/word/2010/wordprocessingShape">
                    <wps:wsp>
                      <wps:cNvSpPr/>
                      <wps:spPr>
                        <a:xfrm>
                          <a:off x="0" y="0"/>
                          <a:ext cx="163830" cy="15494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7.85pt;margin-top:117.1pt;height:12.2pt;width:12.9pt;mso-position-horizontal-relative:margin;z-index:251673600;v-text-anchor:middle;mso-width-relative:page;mso-height-relative:page;" fillcolor="#FFFF00" filled="t" stroked="t" coordsize="21600,21600" o:gfxdata="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77ZT3bAAAACwEAAA8AAAAAAAAAAQAgAAAAIgAAAGRycy9kb3du&#10;cmV2LnhtbFBLAQIUABQAAAAIAIdO4kATRgD+bgIAAPoEAAAOAAAAAAAAAAEAIAAAACoBAABkcnMv&#10;ZTJvRG9jLnhtbFBLBQYAAAAABgAGAFkBAAAKBgAAAAA=&#10;">
                <v:fill on="t" focussize="0,0"/>
                <v:stroke weight="1pt" color="#FFFF00 [3204]" miterlimit="8"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661312" behindDoc="0" locked="0" layoutInCell="1" allowOverlap="1">
                <wp:simplePos x="0" y="0"/>
                <wp:positionH relativeFrom="margin">
                  <wp:posOffset>2002155</wp:posOffset>
                </wp:positionH>
                <wp:positionV relativeFrom="paragraph">
                  <wp:posOffset>2138680</wp:posOffset>
                </wp:positionV>
                <wp:extent cx="163830" cy="155575"/>
                <wp:effectExtent l="0" t="0" r="26670" b="16510"/>
                <wp:wrapNone/>
                <wp:docPr id="36" name="椭圆 36"/>
                <wp:cNvGraphicFramePr/>
                <a:graphic xmlns:a="http://schemas.openxmlformats.org/drawingml/2006/main">
                  <a:graphicData uri="http://schemas.microsoft.com/office/word/2010/wordprocessingShape">
                    <wps:wsp>
                      <wps:cNvSpPr/>
                      <wps:spPr>
                        <a:xfrm>
                          <a:off x="0" y="0"/>
                          <a:ext cx="163902" cy="155275"/>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7.65pt;margin-top:168.4pt;height:12.25pt;width:12.9pt;mso-position-horizontal-relative:margin;z-index:251661312;v-text-anchor:middle;mso-width-relative:page;mso-height-relative:page;" fillcolor="#FFFF00" filled="t" stroked="t" coordsize="21600,21600" o:gfxdata="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oBOLTaAAAACwEAAA8AAAAAAAAAAQAgAAAAIgAAAGRycy9kb3du&#10;cmV2LnhtbFBLAQIUABQAAAAIAIdO4kCL4vCcbwIAAPgEAAAOAAAAAAAAAAEAIAAAACkBAABkcnMv&#10;ZTJvRG9jLnhtbFBLBQYAAAAABgAGAFkBAAAKBgAAAAA=&#10;">
                <v:fill on="t" focussize="0,0"/>
                <v:stroke weight="1pt" color="#FFFF00 [3204]" miterlimit="8" joinstyle="miter"/>
                <v:imagedata o:title=""/>
                <o:lock v:ext="edit" aspectratio="f"/>
              </v:shape>
            </w:pict>
          </mc:Fallback>
        </mc:AlternateContent>
      </w:r>
      <w:r>
        <w:rPr>
          <w:color w:val="FF0000"/>
          <w:highlight w:val="none"/>
        </w:rPr>
        <mc:AlternateContent>
          <mc:Choice Requires="wps">
            <w:drawing>
              <wp:anchor distT="0" distB="0" distL="114300" distR="114300" simplePos="0" relativeHeight="251659264" behindDoc="0" locked="0" layoutInCell="1" allowOverlap="1">
                <wp:simplePos x="0" y="0"/>
                <wp:positionH relativeFrom="column">
                  <wp:posOffset>6678295</wp:posOffset>
                </wp:positionH>
                <wp:positionV relativeFrom="paragraph">
                  <wp:posOffset>4057650</wp:posOffset>
                </wp:positionV>
                <wp:extent cx="1851660" cy="1076960"/>
                <wp:effectExtent l="4445" t="4445" r="10795" b="23495"/>
                <wp:wrapNone/>
                <wp:docPr id="21" name="文本框 21"/>
                <wp:cNvGraphicFramePr/>
                <a:graphic xmlns:a="http://schemas.openxmlformats.org/drawingml/2006/main">
                  <a:graphicData uri="http://schemas.microsoft.com/office/word/2010/wordprocessingShape">
                    <wps:wsp>
                      <wps:cNvSpPr txBox="1"/>
                      <wps:spPr>
                        <a:xfrm>
                          <a:off x="0" y="0"/>
                          <a:ext cx="1851660" cy="1076960"/>
                        </a:xfrm>
                        <a:prstGeom prst="rect">
                          <a:avLst/>
                        </a:prstGeom>
                        <a:solidFill>
                          <a:schemeClr val="lt1"/>
                        </a:solidFill>
                        <a:ln w="6350">
                          <a:solidFill>
                            <a:prstClr val="black"/>
                          </a:solidFill>
                        </a:ln>
                      </wps:spPr>
                      <wps:txbx>
                        <w:txbxContent>
                          <w:p w14:paraId="2AAA53FE">
                            <w:pPr>
                              <w:jc w:val="center"/>
                            </w:pPr>
                            <w:r>
                              <w:rPr>
                                <w:rFonts w:hint="eastAsia"/>
                              </w:rPr>
                              <w:t xml:space="preserve">图 </w:t>
                            </w:r>
                            <w:r>
                              <w:t xml:space="preserve"> </w:t>
                            </w:r>
                            <w:r>
                              <w:rPr>
                                <w:rFonts w:hint="eastAsia"/>
                              </w:rPr>
                              <w:t>例</w:t>
                            </w:r>
                          </w:p>
                          <w:p w14:paraId="6364F78F">
                            <w:r>
                              <w:rPr>
                                <w:rFonts w:hint="eastAsia"/>
                                <w:lang w:eastAsia="zh-CN"/>
                              </w:rPr>
                              <w:t>堤防护坡</w:t>
                            </w:r>
                            <w:r>
                              <w:rPr>
                                <w:rFonts w:hint="eastAsia"/>
                              </w:rPr>
                              <w:t>工程</w:t>
                            </w:r>
                          </w:p>
                          <w:p w14:paraId="337A234F">
                            <w:r>
                              <w:rPr>
                                <w:rFonts w:hint="eastAsia"/>
                              </w:rPr>
                              <w:t>大气监测点</w:t>
                            </w:r>
                          </w:p>
                          <w:p w14:paraId="6FA958ED">
                            <w:r>
                              <w:rPr>
                                <w:rFonts w:hint="eastAsia"/>
                              </w:rPr>
                              <w:t>声环境监测点</w:t>
                            </w:r>
                          </w:p>
                          <w:p w14:paraId="4EC56406">
                            <w:r>
                              <w:rPr>
                                <w:rFonts w:hint="eastAsia"/>
                              </w:rPr>
                              <w:t>地表水监测点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85pt;margin-top:319.5pt;height:84.8pt;width:145.8pt;z-index:251659264;mso-width-relative:page;mso-height-relative:page;" fillcolor="#FFFFFF [3201]" filled="t" stroked="t" coordsize="21600,21600" o:gfxdata="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OWt6QfY&#10;AAAADQEAAA8AAAAAAAAAAQAgAAAAIgAAAGRycy9kb3ducmV2LnhtbFBLAQIUABQAAAAIAIdO4kAG&#10;v2a5WQIAALoEAAAOAAAAAAAAAAEAIAAAACcBAABkcnMvZTJvRG9jLnhtbFBLBQYAAAAABgAGAFkB&#10;AADyBQAAAAA=&#10;">
                <v:fill on="t" focussize="0,0"/>
                <v:stroke weight="0.5pt" color="#000000" joinstyle="round"/>
                <v:imagedata o:title=""/>
                <o:lock v:ext="edit" aspectratio="f"/>
                <v:textbox>
                  <w:txbxContent>
                    <w:p w14:paraId="2AAA53FE">
                      <w:pPr>
                        <w:jc w:val="center"/>
                      </w:pPr>
                      <w:r>
                        <w:rPr>
                          <w:rFonts w:hint="eastAsia"/>
                        </w:rPr>
                        <w:t xml:space="preserve">图 </w:t>
                      </w:r>
                      <w:r>
                        <w:t xml:space="preserve"> </w:t>
                      </w:r>
                      <w:r>
                        <w:rPr>
                          <w:rFonts w:hint="eastAsia"/>
                        </w:rPr>
                        <w:t>例</w:t>
                      </w:r>
                    </w:p>
                    <w:p w14:paraId="6364F78F">
                      <w:r>
                        <w:rPr>
                          <w:rFonts w:hint="eastAsia"/>
                          <w:lang w:eastAsia="zh-CN"/>
                        </w:rPr>
                        <w:t>堤防护坡</w:t>
                      </w:r>
                      <w:r>
                        <w:rPr>
                          <w:rFonts w:hint="eastAsia"/>
                        </w:rPr>
                        <w:t>工程</w:t>
                      </w:r>
                    </w:p>
                    <w:p w14:paraId="337A234F">
                      <w:r>
                        <w:rPr>
                          <w:rFonts w:hint="eastAsia"/>
                        </w:rPr>
                        <w:t>大气监测点</w:t>
                      </w:r>
                    </w:p>
                    <w:p w14:paraId="6FA958ED">
                      <w:r>
                        <w:rPr>
                          <w:rFonts w:hint="eastAsia"/>
                        </w:rPr>
                        <w:t>声环境监测点</w:t>
                      </w:r>
                    </w:p>
                    <w:p w14:paraId="4EC56406">
                      <w:r>
                        <w:rPr>
                          <w:rFonts w:hint="eastAsia"/>
                        </w:rPr>
                        <w:t>地表水监测点</w:t>
                      </w:r>
                    </w:p>
                  </w:txbxContent>
                </v:textbox>
              </v:shape>
            </w:pict>
          </mc:Fallback>
        </mc:AlternateContent>
      </w:r>
      <w:r>
        <w:rPr>
          <w:color w:val="FF0000"/>
          <w:highlight w:val="none"/>
        </w:rPr>
        <mc:AlternateContent>
          <mc:Choice Requires="wps">
            <w:drawing>
              <wp:anchor distT="0" distB="0" distL="114300" distR="114300" simplePos="0" relativeHeight="251664384" behindDoc="0" locked="0" layoutInCell="1" allowOverlap="1">
                <wp:simplePos x="0" y="0"/>
                <wp:positionH relativeFrom="column">
                  <wp:posOffset>7988300</wp:posOffset>
                </wp:positionH>
                <wp:positionV relativeFrom="paragraph">
                  <wp:posOffset>4355465</wp:posOffset>
                </wp:positionV>
                <wp:extent cx="401320" cy="0"/>
                <wp:effectExtent l="0" t="19050" r="36830" b="19050"/>
                <wp:wrapNone/>
                <wp:docPr id="38" name="直接连接符 38"/>
                <wp:cNvGraphicFramePr/>
                <a:graphic xmlns:a="http://schemas.openxmlformats.org/drawingml/2006/main">
                  <a:graphicData uri="http://schemas.microsoft.com/office/word/2010/wordprocessingShape">
                    <wps:wsp>
                      <wps:cNvCnPr/>
                      <wps:spPr>
                        <a:xfrm>
                          <a:off x="0" y="0"/>
                          <a:ext cx="401320" cy="0"/>
                        </a:xfrm>
                        <a:prstGeom prst="line">
                          <a:avLst/>
                        </a:prstGeom>
                        <a:ln w="28575">
                          <a:solidFill>
                            <a:srgbClr val="FF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29pt;margin-top:342.95pt;height:0pt;width:31.6pt;z-index:251664384;mso-width-relative:page;mso-height-relative:page;" filled="f" stroked="t" coordsize="21600,21600" o:gfxdata="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kD&#10;MvfaAAAADQEAAA8AAAAAAAAAAQAgAAAAIgAAAGRycy9kb3ducmV2LnhtbFBLAQIUABQAAAAIAIdO&#10;4kC9+RcB6AEAALMDAAAOAAAAAAAAAAEAIAAAACkBAABkcnMvZTJvRG9jLnhtbFBLBQYAAAAABgAG&#10;AFkBAACDBQAAAAA=&#10;">
                <v:fill on="f" focussize="0,0"/>
                <v:stroke weight="2.25pt" color="#FF00FF [3204]" miterlimit="8" joinstyle="miter"/>
                <v:imagedata o:title=""/>
                <o:lock v:ext="edit" aspectratio="f"/>
              </v:line>
            </w:pict>
          </mc:Fallback>
        </mc:AlternateContent>
      </w:r>
      <w:r>
        <w:rPr>
          <w:highlight w:val="none"/>
        </w:rPr>
        <w:drawing>
          <wp:inline distT="0" distB="0" distL="114300" distR="114300">
            <wp:extent cx="8582025" cy="5422900"/>
            <wp:effectExtent l="0" t="0" r="9525" b="635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20"/>
                    <a:stretch>
                      <a:fillRect/>
                    </a:stretch>
                  </pic:blipFill>
                  <pic:spPr>
                    <a:xfrm>
                      <a:off x="0" y="0"/>
                      <a:ext cx="8582025" cy="5422900"/>
                    </a:xfrm>
                    <a:prstGeom prst="rect">
                      <a:avLst/>
                    </a:prstGeom>
                    <a:noFill/>
                    <a:ln>
                      <a:noFill/>
                    </a:ln>
                  </pic:spPr>
                </pic:pic>
              </a:graphicData>
            </a:graphic>
          </wp:inline>
        </w:drawing>
      </w:r>
      <w:bookmarkStart w:id="50" w:name="_Toc186186194"/>
    </w:p>
    <w:p w14:paraId="527DB11A">
      <w:pPr>
        <w:rPr>
          <w:highlight w:val="none"/>
        </w:rPr>
      </w:pPr>
      <w:r>
        <w:rPr>
          <w:highlight w:val="none"/>
        </w:rPr>
        <w:br w:type="page"/>
      </w:r>
    </w:p>
    <w:p w14:paraId="66EFB588">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51" w:name="_Toc12422"/>
      <w:r>
        <w:rPr>
          <w:rFonts w:ascii="Times New Roman" w:hAnsi="Times New Roman" w:eastAsia="黑体"/>
          <w:snapToGrid w:val="0"/>
          <w:color w:val="auto"/>
          <w:sz w:val="21"/>
          <w:szCs w:val="21"/>
          <w:highlight w:val="none"/>
        </w:rPr>
        <w:t xml:space="preserve">附图6 </w:t>
      </w:r>
      <w:r>
        <w:rPr>
          <w:rFonts w:hint="eastAsia" w:ascii="Times New Roman" w:hAnsi="Times New Roman" w:eastAsia="黑体"/>
          <w:snapToGrid w:val="0"/>
          <w:color w:val="auto"/>
          <w:sz w:val="21"/>
          <w:szCs w:val="21"/>
          <w:highlight w:val="none"/>
        </w:rPr>
        <w:t>生态环境保护措施示意图</w:t>
      </w:r>
      <w:bookmarkEnd w:id="50"/>
      <w:bookmarkEnd w:id="51"/>
    </w:p>
    <w:p w14:paraId="569CCAB9">
      <w:pPr>
        <w:pStyle w:val="55"/>
        <w:rPr>
          <w:snapToGrid w:val="0"/>
          <w:color w:val="FF0000"/>
          <w:highlight w:val="none"/>
        </w:rPr>
        <w:sectPr>
          <w:pgSz w:w="16838" w:h="11906" w:orient="landscape"/>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highlight w:val="none"/>
        </w:rPr>
        <mc:AlternateContent>
          <mc:Choice Requires="wps">
            <w:drawing>
              <wp:anchor distT="0" distB="0" distL="114300" distR="114300" simplePos="0" relativeHeight="251692032" behindDoc="0" locked="0" layoutInCell="1" allowOverlap="1">
                <wp:simplePos x="0" y="0"/>
                <wp:positionH relativeFrom="column">
                  <wp:posOffset>2565400</wp:posOffset>
                </wp:positionH>
                <wp:positionV relativeFrom="paragraph">
                  <wp:posOffset>1351280</wp:posOffset>
                </wp:positionV>
                <wp:extent cx="1894205" cy="639445"/>
                <wp:effectExtent l="4445" t="4445" r="6350" b="270510"/>
                <wp:wrapNone/>
                <wp:docPr id="11" name="圆角矩形标注 11"/>
                <wp:cNvGraphicFramePr/>
                <a:graphic xmlns:a="http://schemas.openxmlformats.org/drawingml/2006/main">
                  <a:graphicData uri="http://schemas.microsoft.com/office/word/2010/wordprocessingShape">
                    <wps:wsp>
                      <wps:cNvSpPr/>
                      <wps:spPr>
                        <a:xfrm>
                          <a:off x="0" y="0"/>
                          <a:ext cx="1894205" cy="639445"/>
                        </a:xfrm>
                        <a:prstGeom prst="wedgeRoundRectCallout">
                          <a:avLst>
                            <a:gd name="adj1" fmla="val -25486"/>
                            <a:gd name="adj2" fmla="val 8902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1394A2E">
                            <w:pPr>
                              <w:pStyle w:val="9"/>
                              <w:numPr>
                                <w:ilvl w:val="0"/>
                                <w:numId w:val="0"/>
                              </w:numPr>
                              <w:ind w:leftChars="0" w:right="113" w:rightChars="0"/>
                              <w:rPr>
                                <w:rFonts w:hint="eastAsia"/>
                                <w:lang w:val="en-US" w:eastAsia="zh-CN"/>
                              </w:rPr>
                            </w:pPr>
                            <w:r>
                              <w:rPr>
                                <w:rFonts w:hint="eastAsia"/>
                              </w:rPr>
                              <w:t>洒水降尘、物料苫布覆盖</w:t>
                            </w:r>
                            <w:r>
                              <w:rPr>
                                <w:rFonts w:hint="eastAsia"/>
                                <w:lang w:eastAsia="zh-CN"/>
                              </w:rPr>
                              <w:t>、</w:t>
                            </w:r>
                            <w:r>
                              <w:rPr>
                                <w:rFonts w:hint="eastAsia"/>
                                <w:lang w:val="en-US" w:eastAsia="zh-CN"/>
                              </w:rPr>
                              <w:t>围挡；</w:t>
                            </w:r>
                          </w:p>
                          <w:p w14:paraId="00D5A659">
                            <w:pPr>
                              <w:rPr>
                                <w:rFonts w:hint="default" w:ascii="Times New Roman" w:hAnsi="Times New Roman" w:eastAsia="宋体" w:cs="Times New Roman"/>
                                <w:kern w:val="0"/>
                                <w:sz w:val="18"/>
                                <w:szCs w:val="18"/>
                                <w:lang w:val="en-US" w:eastAsia="zh-CN" w:bidi="ar-SA"/>
                              </w:rPr>
                            </w:pPr>
                            <w:r>
                              <w:rPr>
                                <w:rFonts w:hint="eastAsia" w:ascii="Times New Roman" w:hAnsi="Times New Roman" w:eastAsia="宋体" w:cs="Times New Roman"/>
                                <w:kern w:val="0"/>
                                <w:sz w:val="18"/>
                                <w:szCs w:val="18"/>
                                <w:lang w:val="en-US" w:eastAsia="zh-CN" w:bidi="ar-SA"/>
                              </w:rPr>
                              <w:t>临时防渗旱厕、垃圾桶</w:t>
                            </w:r>
                          </w:p>
                        </w:txbxContent>
                      </wps:txbx>
                      <wps:bodyPr upright="1"/>
                    </wps:wsp>
                  </a:graphicData>
                </a:graphic>
              </wp:anchor>
            </w:drawing>
          </mc:Choice>
          <mc:Fallback>
            <w:pict>
              <v:shape id="_x0000_s1026" o:spid="_x0000_s1026" o:spt="62" type="#_x0000_t62" style="position:absolute;left:0pt;margin-left:202pt;margin-top:106.4pt;height:50.35pt;width:149.15pt;z-index:251692032;mso-width-relative:page;mso-height-relative:page;" fillcolor="#FFFFFF" filled="t" stroked="t" coordsize="21600,21600" o:gfxdata="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yXWF/3AAA&#10;AAsBAAAPAAAAAAAAAAEAIAAAACIAAABkcnMvZG93bnJldi54bWxQSwECFAAUAAAACACHTuJADiQS&#10;ilMCAAC+BAAADgAAAAAAAAABACAAAAArAQAAZHJzL2Uyb0RvYy54bWxQSwUGAAAAAAYABgBZAQAA&#10;8AUAAAAA&#10;" adj="5295,30028,14400">
                <v:fill on="t" focussize="0,0"/>
                <v:stroke color="#000000" joinstyle="miter"/>
                <v:imagedata o:title=""/>
                <o:lock v:ext="edit" aspectratio="f"/>
                <v:textbox>
                  <w:txbxContent>
                    <w:p w14:paraId="51394A2E">
                      <w:pPr>
                        <w:pStyle w:val="9"/>
                        <w:numPr>
                          <w:ilvl w:val="0"/>
                          <w:numId w:val="0"/>
                        </w:numPr>
                        <w:ind w:leftChars="0" w:right="113" w:rightChars="0"/>
                        <w:rPr>
                          <w:rFonts w:hint="eastAsia"/>
                          <w:lang w:val="en-US" w:eastAsia="zh-CN"/>
                        </w:rPr>
                      </w:pPr>
                      <w:r>
                        <w:rPr>
                          <w:rFonts w:hint="eastAsia"/>
                        </w:rPr>
                        <w:t>洒水降尘、物料苫布覆盖</w:t>
                      </w:r>
                      <w:r>
                        <w:rPr>
                          <w:rFonts w:hint="eastAsia"/>
                          <w:lang w:eastAsia="zh-CN"/>
                        </w:rPr>
                        <w:t>、</w:t>
                      </w:r>
                      <w:r>
                        <w:rPr>
                          <w:rFonts w:hint="eastAsia"/>
                          <w:lang w:val="en-US" w:eastAsia="zh-CN"/>
                        </w:rPr>
                        <w:t>围挡；</w:t>
                      </w:r>
                    </w:p>
                    <w:p w14:paraId="00D5A659">
                      <w:pPr>
                        <w:rPr>
                          <w:rFonts w:hint="default" w:ascii="Times New Roman" w:hAnsi="Times New Roman" w:eastAsia="宋体" w:cs="Times New Roman"/>
                          <w:kern w:val="0"/>
                          <w:sz w:val="18"/>
                          <w:szCs w:val="18"/>
                          <w:lang w:val="en-US" w:eastAsia="zh-CN" w:bidi="ar-SA"/>
                        </w:rPr>
                      </w:pPr>
                      <w:r>
                        <w:rPr>
                          <w:rFonts w:hint="eastAsia" w:ascii="Times New Roman" w:hAnsi="Times New Roman" w:eastAsia="宋体" w:cs="Times New Roman"/>
                          <w:kern w:val="0"/>
                          <w:sz w:val="18"/>
                          <w:szCs w:val="18"/>
                          <w:lang w:val="en-US" w:eastAsia="zh-CN" w:bidi="ar-SA"/>
                        </w:rPr>
                        <w:t>临时防渗旱厕、垃圾桶</w:t>
                      </w:r>
                    </w:p>
                  </w:txbxContent>
                </v:textbox>
              </v:shape>
            </w:pict>
          </mc:Fallback>
        </mc:AlternateContent>
      </w:r>
      <w:r>
        <w:rPr>
          <w:color w:val="auto"/>
          <w:highlight w:val="none"/>
        </w:rPr>
        <w:drawing>
          <wp:anchor distT="0" distB="0" distL="114300" distR="114300" simplePos="0" relativeHeight="251694080" behindDoc="0" locked="0" layoutInCell="1" allowOverlap="1">
            <wp:simplePos x="0" y="0"/>
            <wp:positionH relativeFrom="margin">
              <wp:posOffset>8029575</wp:posOffset>
            </wp:positionH>
            <wp:positionV relativeFrom="paragraph">
              <wp:posOffset>24130</wp:posOffset>
            </wp:positionV>
            <wp:extent cx="647065" cy="966470"/>
            <wp:effectExtent l="9525" t="9525" r="10160" b="14605"/>
            <wp:wrapNone/>
            <wp:docPr id="71" name="图片 71"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水系图"/>
                    <pic:cNvPicPr>
                      <a:picLocks noChangeAspect="1" noChangeArrowheads="1"/>
                    </pic:cNvPicPr>
                  </pic:nvPicPr>
                  <pic:blipFill>
                    <a:blip r:embed="rId15">
                      <a:extLst>
                        <a:ext uri="{28A0092B-C50C-407E-A947-70E740481C1C}">
                          <a14:useLocalDpi xmlns:a14="http://schemas.microsoft.com/office/drawing/2010/main" val="0"/>
                        </a:ext>
                      </a:extLst>
                    </a:blip>
                    <a:srcRect l="3503" t="7991" r="85626" b="66695"/>
                    <a:stretch>
                      <a:fillRect/>
                    </a:stretch>
                  </pic:blipFill>
                  <pic:spPr>
                    <a:xfrm>
                      <a:off x="0" y="0"/>
                      <a:ext cx="647065" cy="966470"/>
                    </a:xfrm>
                    <a:prstGeom prst="rect">
                      <a:avLst/>
                    </a:prstGeom>
                    <a:noFill/>
                    <a:ln w="9525" cmpd="sng">
                      <a:solidFill>
                        <a:srgbClr val="000000"/>
                      </a:solidFill>
                      <a:miter lim="800000"/>
                      <a:headEnd/>
                      <a:tailEnd/>
                    </a:ln>
                  </pic:spPr>
                </pic:pic>
              </a:graphicData>
            </a:graphic>
          </wp:anchor>
        </w:drawing>
      </w:r>
      <w:r>
        <w:rPr>
          <w:color w:val="000000" w:themeColor="text1"/>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7808595</wp:posOffset>
                </wp:positionH>
                <wp:positionV relativeFrom="paragraph">
                  <wp:posOffset>4900930</wp:posOffset>
                </wp:positionV>
                <wp:extent cx="401320" cy="0"/>
                <wp:effectExtent l="0" t="13970" r="17780" b="24130"/>
                <wp:wrapNone/>
                <wp:docPr id="47" name="直接连接符 47"/>
                <wp:cNvGraphicFramePr/>
                <a:graphic xmlns:a="http://schemas.openxmlformats.org/drawingml/2006/main">
                  <a:graphicData uri="http://schemas.microsoft.com/office/word/2010/wordprocessingShape">
                    <wps:wsp>
                      <wps:cNvCnPr/>
                      <wps:spPr>
                        <a:xfrm>
                          <a:off x="0" y="0"/>
                          <a:ext cx="401320" cy="0"/>
                        </a:xfrm>
                        <a:prstGeom prst="line">
                          <a:avLst/>
                        </a:prstGeom>
                        <a:ln w="28575">
                          <a:solidFill>
                            <a:srgbClr val="FF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4.85pt;margin-top:385.9pt;height:0pt;width:31.6pt;z-index:251688960;mso-width-relative:page;mso-height-relative:page;" filled="f" stroked="t" coordsize="21600,21600" o:gfxdata="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e&#10;+AgL2QAAAA0BAAAPAAAAAAAAAAEAIAAAACIAAABkcnMvZG93bnJldi54bWxQSwECFAAUAAAACACH&#10;TuJAXy6W0uoBAACzAwAADgAAAAAAAAABACAAAAAoAQAAZHJzL2Uyb0RvYy54bWxQSwUGAAAAAAYA&#10;BgBZAQAAhAUAAAAA&#10;">
                <v:fill on="f" focussize="0,0"/>
                <v:stroke weight="2.25pt" color="#FF00FF [3204]" miterlimit="8" joinstyle="miter"/>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margin">
                  <wp:posOffset>6836410</wp:posOffset>
                </wp:positionH>
                <wp:positionV relativeFrom="paragraph">
                  <wp:posOffset>4502150</wp:posOffset>
                </wp:positionV>
                <wp:extent cx="1851660" cy="602615"/>
                <wp:effectExtent l="5080" t="4445" r="10160" b="21590"/>
                <wp:wrapNone/>
                <wp:docPr id="46" name="文本框 46"/>
                <wp:cNvGraphicFramePr/>
                <a:graphic xmlns:a="http://schemas.openxmlformats.org/drawingml/2006/main">
                  <a:graphicData uri="http://schemas.microsoft.com/office/word/2010/wordprocessingShape">
                    <wps:wsp>
                      <wps:cNvSpPr txBox="1"/>
                      <wps:spPr>
                        <a:xfrm>
                          <a:off x="0" y="0"/>
                          <a:ext cx="1851660" cy="602615"/>
                        </a:xfrm>
                        <a:prstGeom prst="rect">
                          <a:avLst/>
                        </a:prstGeom>
                        <a:solidFill>
                          <a:schemeClr val="lt1"/>
                        </a:solidFill>
                        <a:ln w="6350">
                          <a:solidFill>
                            <a:prstClr val="black"/>
                          </a:solidFill>
                        </a:ln>
                      </wps:spPr>
                      <wps:txbx>
                        <w:txbxContent>
                          <w:p w14:paraId="14C0D3E7">
                            <w:pPr>
                              <w:keepNext w:val="0"/>
                              <w:keepLines w:val="0"/>
                              <w:pageBreakBefore w:val="0"/>
                              <w:widowControl w:val="0"/>
                              <w:kinsoku/>
                              <w:wordWrap/>
                              <w:overflowPunct/>
                              <w:topLinePunct w:val="0"/>
                              <w:bidi w:val="0"/>
                              <w:adjustRightInd/>
                              <w:snapToGrid/>
                              <w:spacing w:line="360" w:lineRule="auto"/>
                              <w:jc w:val="center"/>
                              <w:textAlignment w:val="auto"/>
                            </w:pPr>
                            <w:r>
                              <w:rPr>
                                <w:rFonts w:hint="eastAsia"/>
                              </w:rPr>
                              <w:t xml:space="preserve">图 </w:t>
                            </w:r>
                            <w:r>
                              <w:t xml:space="preserve"> </w:t>
                            </w:r>
                            <w:r>
                              <w:rPr>
                                <w:rFonts w:hint="eastAsia"/>
                              </w:rPr>
                              <w:t>例</w:t>
                            </w:r>
                          </w:p>
                          <w:p w14:paraId="3930F985">
                            <w:pPr>
                              <w:keepNext w:val="0"/>
                              <w:keepLines w:val="0"/>
                              <w:pageBreakBefore w:val="0"/>
                              <w:widowControl w:val="0"/>
                              <w:kinsoku/>
                              <w:wordWrap/>
                              <w:overflowPunct/>
                              <w:topLinePunct w:val="0"/>
                              <w:bidi w:val="0"/>
                              <w:adjustRightInd/>
                              <w:snapToGrid/>
                              <w:spacing w:line="360" w:lineRule="auto"/>
                              <w:textAlignment w:val="auto"/>
                            </w:pPr>
                            <w:r>
                              <w:rPr>
                                <w:rFonts w:hint="eastAsia"/>
                                <w:lang w:eastAsia="zh-CN"/>
                              </w:rPr>
                              <w:t>堤防护坡</w:t>
                            </w:r>
                            <w:r>
                              <w:rPr>
                                <w:rFonts w:hint="eastAsia"/>
                              </w:rPr>
                              <w:t>工程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8.3pt;margin-top:354.5pt;height:47.45pt;width:145.8pt;mso-position-horizontal-relative:margin;z-index:251687936;mso-width-relative:page;mso-height-relative:page;" fillcolor="#FFFFFF [3201]" filled="t" stroked="t" coordsize="21600,21600" o:gfxdata="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r8Ci2tgA&#10;AAANAQAADwAAAAAAAAABACAAAAAiAAAAZHJzL2Rvd25yZXYueG1sUEsBAhQAFAAAAAgAh07iQAbB&#10;KTFYAgAAuQQAAA4AAAAAAAAAAQAgAAAAJwEAAGRycy9lMm9Eb2MueG1sUEsFBgAAAAAGAAYAWQEA&#10;APEFAAAAAA==&#10;">
                <v:fill on="t" focussize="0,0"/>
                <v:stroke weight="0.5pt" color="#000000" joinstyle="round"/>
                <v:imagedata o:title=""/>
                <o:lock v:ext="edit" aspectratio="f"/>
                <v:textbox>
                  <w:txbxContent>
                    <w:p w14:paraId="14C0D3E7">
                      <w:pPr>
                        <w:keepNext w:val="0"/>
                        <w:keepLines w:val="0"/>
                        <w:pageBreakBefore w:val="0"/>
                        <w:widowControl w:val="0"/>
                        <w:kinsoku/>
                        <w:wordWrap/>
                        <w:overflowPunct/>
                        <w:topLinePunct w:val="0"/>
                        <w:bidi w:val="0"/>
                        <w:adjustRightInd/>
                        <w:snapToGrid/>
                        <w:spacing w:line="360" w:lineRule="auto"/>
                        <w:jc w:val="center"/>
                        <w:textAlignment w:val="auto"/>
                      </w:pPr>
                      <w:r>
                        <w:rPr>
                          <w:rFonts w:hint="eastAsia"/>
                        </w:rPr>
                        <w:t xml:space="preserve">图 </w:t>
                      </w:r>
                      <w:r>
                        <w:t xml:space="preserve"> </w:t>
                      </w:r>
                      <w:r>
                        <w:rPr>
                          <w:rFonts w:hint="eastAsia"/>
                        </w:rPr>
                        <w:t>例</w:t>
                      </w:r>
                    </w:p>
                    <w:p w14:paraId="3930F985">
                      <w:pPr>
                        <w:keepNext w:val="0"/>
                        <w:keepLines w:val="0"/>
                        <w:pageBreakBefore w:val="0"/>
                        <w:widowControl w:val="0"/>
                        <w:kinsoku/>
                        <w:wordWrap/>
                        <w:overflowPunct/>
                        <w:topLinePunct w:val="0"/>
                        <w:bidi w:val="0"/>
                        <w:adjustRightInd/>
                        <w:snapToGrid/>
                        <w:spacing w:line="360" w:lineRule="auto"/>
                        <w:textAlignment w:val="auto"/>
                      </w:pPr>
                      <w:r>
                        <w:rPr>
                          <w:rFonts w:hint="eastAsia"/>
                          <w:lang w:eastAsia="zh-CN"/>
                        </w:rPr>
                        <w:t>堤防护坡</w:t>
                      </w:r>
                      <w:r>
                        <w:rPr>
                          <w:rFonts w:hint="eastAsia"/>
                        </w:rPr>
                        <w:t>工程</w:t>
                      </w:r>
                    </w:p>
                  </w:txbxContent>
                </v:textbox>
              </v:shape>
            </w:pict>
          </mc:Fallback>
        </mc:AlternateContent>
      </w:r>
      <w:r>
        <w:rPr>
          <w:sz w:val="21"/>
          <w:highlight w:val="none"/>
        </w:rPr>
        <mc:AlternateContent>
          <mc:Choice Requires="wps">
            <w:drawing>
              <wp:anchor distT="0" distB="0" distL="114300" distR="114300" simplePos="0" relativeHeight="251691008" behindDoc="0" locked="0" layoutInCell="1" allowOverlap="1">
                <wp:simplePos x="0" y="0"/>
                <wp:positionH relativeFrom="column">
                  <wp:posOffset>1881505</wp:posOffset>
                </wp:positionH>
                <wp:positionV relativeFrom="paragraph">
                  <wp:posOffset>1413510</wp:posOffset>
                </wp:positionV>
                <wp:extent cx="555625" cy="321945"/>
                <wp:effectExtent l="48895" t="6350" r="24130" b="338455"/>
                <wp:wrapNone/>
                <wp:docPr id="69" name="圆角矩形标注 69"/>
                <wp:cNvGraphicFramePr/>
                <a:graphic xmlns:a="http://schemas.openxmlformats.org/drawingml/2006/main">
                  <a:graphicData uri="http://schemas.microsoft.com/office/word/2010/wordprocessingShape">
                    <wps:wsp>
                      <wps:cNvSpPr/>
                      <wps:spPr>
                        <a:xfrm>
                          <a:off x="0" y="0"/>
                          <a:ext cx="555625" cy="321945"/>
                        </a:xfrm>
                        <a:prstGeom prst="wedgeRoundRectCallout">
                          <a:avLst>
                            <a:gd name="adj1" fmla="val -55142"/>
                            <a:gd name="adj2" fmla="val 143885"/>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A03B335">
                            <w:pPr>
                              <w:jc w:val="center"/>
                              <w:rPr>
                                <w:rFonts w:hint="default" w:eastAsia="宋体"/>
                                <w:lang w:val="en-US" w:eastAsia="zh-CN"/>
                              </w:rPr>
                            </w:pPr>
                            <w:r>
                              <w:rPr>
                                <w:rFonts w:hint="eastAsia" w:eastAsia="宋体"/>
                                <w:lang w:val="en-US" w:eastAsia="zh-CN"/>
                              </w:rPr>
                              <w:t>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8.15pt;margin-top:111.3pt;height:25.35pt;width:43.75pt;z-index:251691008;v-text-anchor:middle;mso-width-relative:page;mso-height-relative:page;" fillcolor="#4472C4 [3204]" filled="t" stroked="t" coordsize="21600,21600" o:gfxdata="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F2rUxdkAAAALAQAADwAAAAAAAAABACAAAAAiAAAAZHJzL2Rvd25y&#10;ZXYueG1sUEsBAhQAFAAAAAgAh07iQCyri0nhAgAAtgUAAA4AAAAAAAAAAQAgAAAAKAEAAGRycy9l&#10;Mm9Eb2MueG1sUEsFBgAAAAAGAAYAWQEAAHsGAAAAAA==&#10;" adj="-1111,41879,14400">
                <v:fill on="t" focussize="0,0"/>
                <v:stroke weight="1pt" color="#2F5597 [2404]" miterlimit="8" joinstyle="miter"/>
                <v:imagedata o:title=""/>
                <o:lock v:ext="edit" aspectratio="f"/>
                <v:textbox>
                  <w:txbxContent>
                    <w:p w14:paraId="2A03B335">
                      <w:pPr>
                        <w:jc w:val="center"/>
                        <w:rPr>
                          <w:rFonts w:hint="default" w:eastAsia="宋体"/>
                          <w:lang w:val="en-US" w:eastAsia="zh-CN"/>
                        </w:rPr>
                      </w:pPr>
                      <w:r>
                        <w:rPr>
                          <w:rFonts w:hint="eastAsia" w:eastAsia="宋体"/>
                          <w:lang w:val="en-US" w:eastAsia="zh-CN"/>
                        </w:rPr>
                        <w:t>终点</w:t>
                      </w:r>
                    </w:p>
                  </w:txbxContent>
                </v:textbox>
              </v:shape>
            </w:pict>
          </mc:Fallback>
        </mc:AlternateContent>
      </w:r>
      <w:r>
        <w:rPr>
          <w:sz w:val="21"/>
          <w:highlight w:val="none"/>
        </w:rPr>
        <mc:AlternateContent>
          <mc:Choice Requires="wps">
            <w:drawing>
              <wp:anchor distT="0" distB="0" distL="114300" distR="114300" simplePos="0" relativeHeight="251689984" behindDoc="0" locked="0" layoutInCell="1" allowOverlap="1">
                <wp:simplePos x="0" y="0"/>
                <wp:positionH relativeFrom="column">
                  <wp:posOffset>1774825</wp:posOffset>
                </wp:positionH>
                <wp:positionV relativeFrom="paragraph">
                  <wp:posOffset>2033270</wp:posOffset>
                </wp:positionV>
                <wp:extent cx="75565" cy="83185"/>
                <wp:effectExtent l="6350" t="6350" r="13335" b="24765"/>
                <wp:wrapNone/>
                <wp:docPr id="68" name="椭圆 68"/>
                <wp:cNvGraphicFramePr/>
                <a:graphic xmlns:a="http://schemas.openxmlformats.org/drawingml/2006/main">
                  <a:graphicData uri="http://schemas.microsoft.com/office/word/2010/wordprocessingShape">
                    <wps:wsp>
                      <wps:cNvSpPr/>
                      <wps:spPr>
                        <a:xfrm>
                          <a:off x="0" y="0"/>
                          <a:ext cx="75565" cy="8318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9.75pt;margin-top:160.1pt;height:6.55pt;width:5.95pt;z-index:251689984;v-text-anchor:middle;mso-width-relative:page;mso-height-relative:page;" fillcolor="#4472C4 [3204]" filled="t" stroked="t" coordsize="21600,21600" o:gfxdata="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x/tAq2AAAAAsBAAAPAAAA&#10;AAAAAAEAIAAAACIAAABkcnMvZG93bnJldi54bWxQSwECFAAUAAAACACHTuJA8fKhQ4cCAAAYBQAA&#10;DgAAAAAAAAABACAAAAAnAQAAZHJzL2Uyb0RvYy54bWxQSwUGAAAAAAYABgBZAQAAIAYAAAAA&#10;">
                <v:fill on="t" focussize="0,0"/>
                <v:stroke weight="1pt" color="#2F5597 [2404]" miterlimit="8" joinstyle="miter"/>
                <v:imagedata o:title=""/>
                <o:lock v:ext="edit" aspectratio="f"/>
              </v:shape>
            </w:pict>
          </mc:Fallback>
        </mc:AlternateContent>
      </w:r>
      <w:r>
        <w:rPr>
          <w:sz w:val="21"/>
          <w:highlight w:val="none"/>
        </w:rPr>
        <mc:AlternateContent>
          <mc:Choice Requires="wps">
            <w:drawing>
              <wp:anchor distT="0" distB="0" distL="114300" distR="114300" simplePos="0" relativeHeight="251686912" behindDoc="0" locked="0" layoutInCell="1" allowOverlap="1">
                <wp:simplePos x="0" y="0"/>
                <wp:positionH relativeFrom="column">
                  <wp:posOffset>5312410</wp:posOffset>
                </wp:positionH>
                <wp:positionV relativeFrom="paragraph">
                  <wp:posOffset>998855</wp:posOffset>
                </wp:positionV>
                <wp:extent cx="555625" cy="321945"/>
                <wp:effectExtent l="48895" t="6350" r="24130" b="338455"/>
                <wp:wrapNone/>
                <wp:docPr id="67" name="圆角矩形标注 67"/>
                <wp:cNvGraphicFramePr/>
                <a:graphic xmlns:a="http://schemas.openxmlformats.org/drawingml/2006/main">
                  <a:graphicData uri="http://schemas.microsoft.com/office/word/2010/wordprocessingShape">
                    <wps:wsp>
                      <wps:cNvSpPr/>
                      <wps:spPr>
                        <a:xfrm>
                          <a:off x="6597015" y="1812925"/>
                          <a:ext cx="555625" cy="321945"/>
                        </a:xfrm>
                        <a:prstGeom prst="wedgeRoundRectCallout">
                          <a:avLst>
                            <a:gd name="adj1" fmla="val -55142"/>
                            <a:gd name="adj2" fmla="val 143885"/>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3F5FB19">
                            <w:pPr>
                              <w:jc w:val="center"/>
                              <w:rPr>
                                <w:rFonts w:hint="eastAsia" w:eastAsia="宋体"/>
                                <w:lang w:val="en-US" w:eastAsia="zh-CN"/>
                              </w:rPr>
                            </w:pPr>
                            <w:r>
                              <w:rPr>
                                <w:rFonts w:hint="eastAsia"/>
                                <w:lang w:val="en-US" w:eastAsia="zh-CN"/>
                              </w:rPr>
                              <w:t>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18.3pt;margin-top:78.65pt;height:25.35pt;width:43.75pt;z-index:251686912;v-text-anchor:middle;mso-width-relative:page;mso-height-relative:page;" fillcolor="#4472C4 [3204]" filled="t" stroked="t" coordsize="21600,21600" o:gfxdata="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MGOC72QAAAAsBAAAPAAAAAAAAAAEAIAAAACIAAABk&#10;cnMvZG93bnJldi54bWxQSwECFAAUAAAACACHTuJAFrR2QukCAADCBQAADgAAAAAAAAABACAAAAAo&#10;AQAAZHJzL2Uyb0RvYy54bWxQSwUGAAAAAAYABgBZAQAAgwYAAAAA&#10;" adj="-1111,41879,14400">
                <v:fill on="t" focussize="0,0"/>
                <v:stroke weight="1pt" color="#2F5597 [2404]" miterlimit="8" joinstyle="miter"/>
                <v:imagedata o:title=""/>
                <o:lock v:ext="edit" aspectratio="f"/>
                <v:textbox>
                  <w:txbxContent>
                    <w:p w14:paraId="73F5FB19">
                      <w:pPr>
                        <w:jc w:val="center"/>
                        <w:rPr>
                          <w:rFonts w:hint="eastAsia" w:eastAsia="宋体"/>
                          <w:lang w:val="en-US" w:eastAsia="zh-CN"/>
                        </w:rPr>
                      </w:pPr>
                      <w:r>
                        <w:rPr>
                          <w:rFonts w:hint="eastAsia"/>
                          <w:lang w:val="en-US" w:eastAsia="zh-CN"/>
                        </w:rPr>
                        <w:t>起点</w:t>
                      </w:r>
                    </w:p>
                  </w:txbxContent>
                </v:textbox>
              </v:shape>
            </w:pict>
          </mc:Fallback>
        </mc:AlternateContent>
      </w:r>
      <w:r>
        <w:rPr>
          <w:sz w:val="21"/>
          <w:highlight w:val="none"/>
        </w:rPr>
        <mc:AlternateContent>
          <mc:Choice Requires="wps">
            <w:drawing>
              <wp:anchor distT="0" distB="0" distL="114300" distR="114300" simplePos="0" relativeHeight="251685888" behindDoc="0" locked="0" layoutInCell="1" allowOverlap="1">
                <wp:simplePos x="0" y="0"/>
                <wp:positionH relativeFrom="column">
                  <wp:posOffset>5241925</wp:posOffset>
                </wp:positionH>
                <wp:positionV relativeFrom="paragraph">
                  <wp:posOffset>1660525</wp:posOffset>
                </wp:positionV>
                <wp:extent cx="75565" cy="83185"/>
                <wp:effectExtent l="6350" t="6350" r="13335" b="24765"/>
                <wp:wrapNone/>
                <wp:docPr id="66" name="椭圆 66"/>
                <wp:cNvGraphicFramePr/>
                <a:graphic xmlns:a="http://schemas.openxmlformats.org/drawingml/2006/main">
                  <a:graphicData uri="http://schemas.microsoft.com/office/word/2010/wordprocessingShape">
                    <wps:wsp>
                      <wps:cNvSpPr/>
                      <wps:spPr>
                        <a:xfrm>
                          <a:off x="6156325" y="2747645"/>
                          <a:ext cx="75565" cy="8318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2.75pt;margin-top:130.75pt;height:6.55pt;width:5.95pt;z-index:251685888;v-text-anchor:middle;mso-width-relative:page;mso-height-relative:page;" fillcolor="#4472C4 [3204]" filled="t" stroked="t" coordsize="21600,21600" o:gfxdata="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dBKt&#10;kNkAAAALAQAADwAAAAAAAAABACAAAAAiAAAAZHJzL2Rvd25yZXYueG1sUEsBAhQAFAAAAAgAh07i&#10;QF/pIDeTAgAAJAUAAA4AAAAAAAAAAQAgAAAAKAEAAGRycy9lMm9Eb2MueG1sUEsFBgAAAAAGAAYA&#10;WQEAAC0GAAAAAA==&#10;">
                <v:fill on="t" focussize="0,0"/>
                <v:stroke weight="1pt" color="#2F5597 [24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5359400</wp:posOffset>
                </wp:positionH>
                <wp:positionV relativeFrom="paragraph">
                  <wp:posOffset>7756525</wp:posOffset>
                </wp:positionV>
                <wp:extent cx="191135" cy="116840"/>
                <wp:effectExtent l="0" t="0" r="18415" b="16510"/>
                <wp:wrapNone/>
                <wp:docPr id="59" name="矩形 2"/>
                <wp:cNvGraphicFramePr/>
                <a:graphic xmlns:a="http://schemas.openxmlformats.org/drawingml/2006/main">
                  <a:graphicData uri="http://schemas.microsoft.com/office/word/2010/wordprocessingShape">
                    <wps:wsp>
                      <wps:cNvSpPr/>
                      <wps:spPr>
                        <a:xfrm>
                          <a:off x="0" y="0"/>
                          <a:ext cx="191135" cy="116840"/>
                        </a:xfrm>
                        <a:prstGeom prst="rect">
                          <a:avLst/>
                        </a:prstGeom>
                        <a:solidFill>
                          <a:srgbClr val="18F02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422pt;margin-top:610.75pt;height:9.2pt;width:15.05pt;z-index:251683840;v-text-anchor:middle;mso-width-relative:page;mso-height-relative:page;" fillcolor="#18F02D" filled="t" stroked="f" coordsize="21600,21600" o:gfxdata="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p9x3Z3QAAAA0BAAAPAAAAAAAAAAEAIAAAACIAAABkcnMvZG93&#10;bnJldi54bWxQSwECFAAUAAAACACHTuJAwQQdxW0CAADLBAAADgAAAAAAAAABACAAAAAsAQAAZHJz&#10;L2Uyb0RvYy54bWxQSwUGAAAAAAYABgBZAQAACwYAAAAA&#10;">
                <v:fill on="t" focussize="0,0"/>
                <v:stroke on="f" weight="1pt" miterlimit="8" joinstyle="miter"/>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margin">
                  <wp:align>right</wp:align>
                </wp:positionH>
                <wp:positionV relativeFrom="paragraph">
                  <wp:posOffset>7646035</wp:posOffset>
                </wp:positionV>
                <wp:extent cx="445770" cy="0"/>
                <wp:effectExtent l="0" t="13970" r="0" b="14605"/>
                <wp:wrapNone/>
                <wp:docPr id="60" name="直接连接符 60"/>
                <wp:cNvGraphicFramePr/>
                <a:graphic xmlns:a="http://schemas.openxmlformats.org/drawingml/2006/main">
                  <a:graphicData uri="http://schemas.microsoft.com/office/word/2010/wordprocessingShape">
                    <wps:wsp>
                      <wps:cNvCnPr/>
                      <wps:spPr>
                        <a:xfrm>
                          <a:off x="0" y="0"/>
                          <a:ext cx="4457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602.05pt;height:0pt;width:35.1pt;mso-position-horizontal:right;mso-position-horizontal-relative:margin;z-index:251681792;mso-width-relative:page;mso-height-relative:page;" filled="f" stroked="t" coordsize="21600,21600" o:gfxdata="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DUi36tYA&#10;AAAJAQAADwAAAAAAAAABACAAAAAiAAAAZHJzL2Rvd25yZXYueG1sUEsBAhQAFAAAAAgAh07iQNNe&#10;HhToAQAAswMAAA4AAAAAAAAAAQAgAAAAJQEAAGRycy9lMm9Eb2MueG1sUEsFBgAAAAAGAAYAWQEA&#10;AH8FAAAAAA==&#10;">
                <v:fill on="f" focussize="0,0"/>
                <v:stroke weight="2.25pt" color="#FF0000 [3204]" miterlimit="8" joinstyle="miter"/>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margin">
                  <wp:align>right</wp:align>
                </wp:positionH>
                <wp:positionV relativeFrom="paragraph">
                  <wp:posOffset>7459980</wp:posOffset>
                </wp:positionV>
                <wp:extent cx="445770" cy="0"/>
                <wp:effectExtent l="0" t="13970" r="0" b="14605"/>
                <wp:wrapNone/>
                <wp:docPr id="61" name="直接连接符 61"/>
                <wp:cNvGraphicFramePr/>
                <a:graphic xmlns:a="http://schemas.openxmlformats.org/drawingml/2006/main">
                  <a:graphicData uri="http://schemas.microsoft.com/office/word/2010/wordprocessingShape">
                    <wps:wsp>
                      <wps:cNvCnPr/>
                      <wps:spPr>
                        <a:xfrm>
                          <a:off x="0" y="0"/>
                          <a:ext cx="445770" cy="0"/>
                        </a:xfrm>
                        <a:prstGeom prst="line">
                          <a:avLst/>
                        </a:prstGeom>
                        <a:ln w="28575">
                          <a:solidFill>
                            <a:srgbClr val="66FF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587.4pt;height:0pt;width:35.1pt;mso-position-horizontal:right;mso-position-horizontal-relative:margin;z-index:251682816;mso-width-relative:page;mso-height-relative:page;" filled="f" stroked="t" coordsize="21600,21600" o:gfxdata="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GTxZ39YA&#10;AAAJAQAADwAAAAAAAAABACAAAAAiAAAAZHJzL2Rvd25yZXYueG1sUEsBAhQAFAAAAAgAh07iQPto&#10;HqroAQAAswMAAA4AAAAAAAAAAQAgAAAAJQEAAGRycy9lMm9Eb2MueG1sUEsFBgAAAAAGAAYAWQEA&#10;AH8FAAAAAA==&#10;">
                <v:fill on="f" focussize="0,0"/>
                <v:stroke weight="2.25pt" color="#66FFFF [3204]" miterlimit="8" joinstyle="miter"/>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4157980</wp:posOffset>
                </wp:positionH>
                <wp:positionV relativeFrom="paragraph">
                  <wp:posOffset>7164070</wp:posOffset>
                </wp:positionV>
                <wp:extent cx="1590040" cy="809625"/>
                <wp:effectExtent l="4445" t="4445" r="5715" b="5080"/>
                <wp:wrapNone/>
                <wp:docPr id="62" name="文本框 62"/>
                <wp:cNvGraphicFramePr/>
                <a:graphic xmlns:a="http://schemas.openxmlformats.org/drawingml/2006/main">
                  <a:graphicData uri="http://schemas.microsoft.com/office/word/2010/wordprocessingShape">
                    <wps:wsp>
                      <wps:cNvSpPr txBox="1"/>
                      <wps:spPr>
                        <a:xfrm>
                          <a:off x="0" y="0"/>
                          <a:ext cx="1590040" cy="809625"/>
                        </a:xfrm>
                        <a:prstGeom prst="rect">
                          <a:avLst/>
                        </a:prstGeom>
                        <a:solidFill>
                          <a:schemeClr val="lt1"/>
                        </a:solidFill>
                        <a:ln w="6350">
                          <a:solidFill>
                            <a:prstClr val="black"/>
                          </a:solidFill>
                        </a:ln>
                      </wps:spPr>
                      <wps:txbx>
                        <w:txbxContent>
                          <w:p w14:paraId="3E9CB64F">
                            <w:pPr>
                              <w:jc w:val="center"/>
                            </w:pPr>
                            <w:r>
                              <w:rPr>
                                <w:rFonts w:hint="eastAsia"/>
                              </w:rPr>
                              <w:t xml:space="preserve">图 </w:t>
                            </w:r>
                            <w:r>
                              <w:t xml:space="preserve"> </w:t>
                            </w:r>
                            <w:r>
                              <w:rPr>
                                <w:rFonts w:hint="eastAsia"/>
                              </w:rPr>
                              <w:t>例</w:t>
                            </w:r>
                          </w:p>
                          <w:p w14:paraId="486A3DB4">
                            <w:r>
                              <w:rPr>
                                <w:rFonts w:hint="eastAsia"/>
                              </w:rPr>
                              <w:t>施工道路防治区</w:t>
                            </w:r>
                          </w:p>
                          <w:p w14:paraId="254805AB">
                            <w:r>
                              <w:rPr>
                                <w:rFonts w:hint="eastAsia"/>
                              </w:rPr>
                              <w:t>防治区</w:t>
                            </w:r>
                          </w:p>
                          <w:p w14:paraId="069E18A5">
                            <w:r>
                              <w:rPr>
                                <w:rFonts w:hint="eastAsia"/>
                              </w:rPr>
                              <w:t>施工临建区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4pt;margin-top:564.1pt;height:63.75pt;width:125.2pt;z-index:251680768;mso-width-relative:page;mso-height-relative:page;" fillcolor="#FFFFFF [3201]" filled="t" stroked="t" coordsize="21600,21600" o:gfxdata="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baHJnZ&#10;AAAADQEAAA8AAAAAAAAAAQAgAAAAIgAAAGRycy9kb3ducmV2LnhtbFBLAQIUABQAAAAIAIdO4kDO&#10;yECyWAIAALkEAAAOAAAAAAAAAAEAIAAAACgBAABkcnMvZTJvRG9jLnhtbFBLBQYAAAAABgAGAFkB&#10;AADyBQAAAAA=&#10;">
                <v:fill on="t" focussize="0,0"/>
                <v:stroke weight="0.5pt" color="#000000" joinstyle="round"/>
                <v:imagedata o:title=""/>
                <o:lock v:ext="edit" aspectratio="f"/>
                <v:textbox>
                  <w:txbxContent>
                    <w:p w14:paraId="3E9CB64F">
                      <w:pPr>
                        <w:jc w:val="center"/>
                      </w:pPr>
                      <w:r>
                        <w:rPr>
                          <w:rFonts w:hint="eastAsia"/>
                        </w:rPr>
                        <w:t xml:space="preserve">图 </w:t>
                      </w:r>
                      <w:r>
                        <w:t xml:space="preserve"> </w:t>
                      </w:r>
                      <w:r>
                        <w:rPr>
                          <w:rFonts w:hint="eastAsia"/>
                        </w:rPr>
                        <w:t>例</w:t>
                      </w:r>
                    </w:p>
                    <w:p w14:paraId="486A3DB4">
                      <w:r>
                        <w:rPr>
                          <w:rFonts w:hint="eastAsia"/>
                        </w:rPr>
                        <w:t>施工道路防治区</w:t>
                      </w:r>
                    </w:p>
                    <w:p w14:paraId="254805AB">
                      <w:r>
                        <w:rPr>
                          <w:rFonts w:hint="eastAsia"/>
                        </w:rPr>
                        <w:t>防治区</w:t>
                      </w:r>
                    </w:p>
                    <w:p w14:paraId="069E18A5">
                      <w:r>
                        <w:rPr>
                          <w:rFonts w:hint="eastAsia"/>
                        </w:rPr>
                        <w:t>施工临建区</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84864" behindDoc="0" locked="0" layoutInCell="1" allowOverlap="1">
            <wp:simplePos x="0" y="0"/>
            <wp:positionH relativeFrom="column">
              <wp:posOffset>46355</wp:posOffset>
            </wp:positionH>
            <wp:positionV relativeFrom="paragraph">
              <wp:posOffset>7367270</wp:posOffset>
            </wp:positionV>
            <wp:extent cx="873760" cy="152400"/>
            <wp:effectExtent l="0" t="0" r="2540" b="0"/>
            <wp:wrapNone/>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873456" cy="152092"/>
                    </a:xfrm>
                    <a:prstGeom prst="rect">
                      <a:avLst/>
                    </a:prstGeom>
                  </pic:spPr>
                </pic:pic>
              </a:graphicData>
            </a:graphic>
          </wp:anchor>
        </w:drawing>
      </w:r>
      <w:r>
        <w:rPr>
          <w:highlight w:val="none"/>
        </w:rPr>
        <w:drawing>
          <wp:inline distT="0" distB="0" distL="114300" distR="114300">
            <wp:extent cx="8582025" cy="5422900"/>
            <wp:effectExtent l="0" t="0" r="9525" b="6350"/>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20"/>
                    <a:stretch>
                      <a:fillRect/>
                    </a:stretch>
                  </pic:blipFill>
                  <pic:spPr>
                    <a:xfrm>
                      <a:off x="0" y="0"/>
                      <a:ext cx="8582025" cy="5422900"/>
                    </a:xfrm>
                    <a:prstGeom prst="rect">
                      <a:avLst/>
                    </a:prstGeom>
                    <a:noFill/>
                    <a:ln>
                      <a:noFill/>
                    </a:ln>
                  </pic:spPr>
                </pic:pic>
              </a:graphicData>
            </a:graphic>
          </wp:inline>
        </w:drawing>
      </w:r>
    </w:p>
    <w:p w14:paraId="6CA4743A">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52" w:name="_Toc25409"/>
      <w:r>
        <w:rPr>
          <w:rFonts w:ascii="Times New Roman" w:hAnsi="Times New Roman" w:eastAsia="黑体"/>
          <w:snapToGrid w:val="0"/>
          <w:color w:val="auto"/>
          <w:sz w:val="21"/>
          <w:szCs w:val="21"/>
          <w:highlight w:val="none"/>
        </w:rPr>
        <w:t xml:space="preserve">附图5 </w:t>
      </w:r>
      <w:r>
        <w:rPr>
          <w:rFonts w:hint="eastAsia" w:ascii="Times New Roman" w:hAnsi="Times New Roman" w:eastAsia="黑体"/>
          <w:snapToGrid w:val="0"/>
          <w:color w:val="auto"/>
          <w:sz w:val="21"/>
          <w:szCs w:val="21"/>
          <w:highlight w:val="none"/>
        </w:rPr>
        <w:t>项目区域地表水系图</w:t>
      </w:r>
      <w:bookmarkEnd w:id="52"/>
    </w:p>
    <w:p w14:paraId="4937CFDA">
      <w:pPr>
        <w:pStyle w:val="55"/>
        <w:rPr>
          <w:color w:val="FF0000"/>
          <w:highlight w:val="none"/>
        </w:rPr>
      </w:pPr>
      <w:r>
        <w:rPr>
          <w:color w:val="FF0000"/>
          <w:highlight w:val="none"/>
        </w:rPr>
        <mc:AlternateContent>
          <mc:Choice Requires="wps">
            <w:drawing>
              <wp:anchor distT="0" distB="0" distL="114300" distR="114300" simplePos="0" relativeHeight="251669504" behindDoc="0" locked="0" layoutInCell="1" allowOverlap="1">
                <wp:simplePos x="0" y="0"/>
                <wp:positionH relativeFrom="margin">
                  <wp:posOffset>4100195</wp:posOffset>
                </wp:positionH>
                <wp:positionV relativeFrom="paragraph">
                  <wp:posOffset>4622165</wp:posOffset>
                </wp:positionV>
                <wp:extent cx="1112520" cy="401320"/>
                <wp:effectExtent l="304800" t="0" r="0" b="151130"/>
                <wp:wrapNone/>
                <wp:docPr id="8" name="对话气泡: 椭圆形 8"/>
                <wp:cNvGraphicFramePr/>
                <a:graphic xmlns:a="http://schemas.openxmlformats.org/drawingml/2006/main">
                  <a:graphicData uri="http://schemas.microsoft.com/office/word/2010/wordprocessingShape">
                    <wps:wsp>
                      <wps:cNvSpPr/>
                      <wps:spPr>
                        <a:xfrm>
                          <a:off x="0" y="0"/>
                          <a:ext cx="1112520" cy="401320"/>
                        </a:xfrm>
                        <a:prstGeom prst="wedgeEllipseCallout">
                          <a:avLst>
                            <a:gd name="adj1" fmla="val -73001"/>
                            <a:gd name="adj2" fmla="val 78218"/>
                          </a:avLst>
                        </a:prstGeom>
                        <a:solidFill>
                          <a:schemeClr val="bg1"/>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DAE88">
                            <w:pPr>
                              <w:jc w:val="center"/>
                              <w:rPr>
                                <w:color w:val="000000" w:themeColor="text1"/>
                                <w:sz w:val="22"/>
                                <w:szCs w:val="28"/>
                                <w14:textFill>
                                  <w14:solidFill>
                                    <w14:schemeClr w14:val="tx1"/>
                                  </w14:solidFill>
                                </w14:textFill>
                              </w:rPr>
                            </w:pPr>
                            <w:r>
                              <w:rPr>
                                <w:rFonts w:hint="eastAsia"/>
                                <w:color w:val="000000" w:themeColor="text1"/>
                                <w:sz w:val="22"/>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8" o:spid="_x0000_s1026" o:spt="63" type="#_x0000_t63" style="position:absolute;left:0pt;margin-left:322.85pt;margin-top:363.95pt;height:31.6pt;width:87.6pt;mso-position-horizontal-relative:margin;z-index:251669504;v-text-anchor:middle;mso-width-relative:page;mso-height-relative:page;" fillcolor="#FFFFFF [3212]" filled="t" stroked="t" coordsize="21600,21600" o:gfxdata="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aG4Am2QAAAAsBAAAP&#10;AAAAAAAAAAEAIAAAACIAAABkcnMvZG93bnJldi54bWxQSwECFAAUAAAACACHTuJAz1UobsICAABx&#10;BQAADgAAAAAAAAABACAAAAAoAQAAZHJzL2Uyb0RvYy54bWxQSwUGAAAAAAYABgBZAQAAXAYAAAAA&#10;" adj="-4968,27695">
                <v:fill on="t" focussize="0,0"/>
                <v:stroke weight="1.5pt" color="#0070C0 [3204]" miterlimit="8" joinstyle="miter"/>
                <v:imagedata o:title=""/>
                <o:lock v:ext="edit" aspectratio="f"/>
                <v:textbox>
                  <w:txbxContent>
                    <w:p w14:paraId="278DAE88">
                      <w:pPr>
                        <w:jc w:val="center"/>
                        <w:rPr>
                          <w:color w:val="000000" w:themeColor="text1"/>
                          <w:sz w:val="22"/>
                          <w:szCs w:val="28"/>
                          <w14:textFill>
                            <w14:solidFill>
                              <w14:schemeClr w14:val="tx1"/>
                            </w14:solidFill>
                          </w14:textFill>
                        </w:rPr>
                      </w:pPr>
                      <w:r>
                        <w:rPr>
                          <w:rFonts w:hint="eastAsia"/>
                          <w:color w:val="000000" w:themeColor="text1"/>
                          <w:sz w:val="22"/>
                          <w:szCs w:val="28"/>
                          <w14:textFill>
                            <w14:solidFill>
                              <w14:schemeClr w14:val="tx1"/>
                            </w14:solidFill>
                          </w14:textFill>
                        </w:rPr>
                        <w:t>项目位置</w:t>
                      </w:r>
                    </w:p>
                  </w:txbxContent>
                </v:textbox>
              </v:shape>
            </w:pict>
          </mc:Fallback>
        </mc:AlternateContent>
      </w:r>
      <w:r>
        <w:rPr>
          <w:color w:val="auto"/>
          <w:position w:val="-234"/>
          <w:highlight w:val="none"/>
        </w:rPr>
        <w:drawing>
          <wp:inline distT="0" distB="0" distL="0" distR="0">
            <wp:extent cx="5261610" cy="7449185"/>
            <wp:effectExtent l="0" t="0" r="15240" b="18415"/>
            <wp:docPr id="3" name="IM 16"/>
            <wp:cNvGraphicFramePr/>
            <a:graphic xmlns:a="http://schemas.openxmlformats.org/drawingml/2006/main">
              <a:graphicData uri="http://schemas.openxmlformats.org/drawingml/2006/picture">
                <pic:pic xmlns:pic="http://schemas.openxmlformats.org/drawingml/2006/picture">
                  <pic:nvPicPr>
                    <pic:cNvPr id="3" name="IM 16"/>
                    <pic:cNvPicPr/>
                  </pic:nvPicPr>
                  <pic:blipFill>
                    <a:blip r:embed="rId22"/>
                    <a:stretch>
                      <a:fillRect/>
                    </a:stretch>
                  </pic:blipFill>
                  <pic:spPr>
                    <a:xfrm>
                      <a:off x="0" y="0"/>
                      <a:ext cx="5262244" cy="7449819"/>
                    </a:xfrm>
                    <a:prstGeom prst="rect">
                      <a:avLst/>
                    </a:prstGeom>
                  </pic:spPr>
                </pic:pic>
              </a:graphicData>
            </a:graphic>
          </wp:inline>
        </w:drawing>
      </w:r>
    </w:p>
    <w:p w14:paraId="0A3B32B5">
      <w:pPr>
        <w:jc w:val="center"/>
        <w:rPr>
          <w:color w:val="FF0000"/>
          <w:highlight w:val="none"/>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0422D8FE">
      <w:pPr>
        <w:pStyle w:val="17"/>
        <w:rPr>
          <w:highlight w:val="none"/>
        </w:rPr>
        <w:sectPr>
          <w:pgSz w:w="16838" w:h="11906" w:orient="landscape"/>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color w:val="auto"/>
          <w:highlight w:val="none"/>
        </w:rPr>
        <w:drawing>
          <wp:anchor distT="0" distB="0" distL="114300" distR="114300" simplePos="0" relativeHeight="251695104" behindDoc="0" locked="0" layoutInCell="1" allowOverlap="1">
            <wp:simplePos x="0" y="0"/>
            <wp:positionH relativeFrom="margin">
              <wp:posOffset>54610</wp:posOffset>
            </wp:positionH>
            <wp:positionV relativeFrom="paragraph">
              <wp:posOffset>49530</wp:posOffset>
            </wp:positionV>
            <wp:extent cx="647065" cy="966470"/>
            <wp:effectExtent l="9525" t="9525" r="10160" b="14605"/>
            <wp:wrapNone/>
            <wp:docPr id="72" name="图片 72"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水系图"/>
                    <pic:cNvPicPr>
                      <a:picLocks noChangeAspect="1" noChangeArrowheads="1"/>
                    </pic:cNvPicPr>
                  </pic:nvPicPr>
                  <pic:blipFill>
                    <a:blip r:embed="rId15">
                      <a:extLst>
                        <a:ext uri="{28A0092B-C50C-407E-A947-70E740481C1C}">
                          <a14:useLocalDpi xmlns:a14="http://schemas.microsoft.com/office/drawing/2010/main" val="0"/>
                        </a:ext>
                      </a:extLst>
                    </a:blip>
                    <a:srcRect l="3503" t="7991" r="85626" b="66695"/>
                    <a:stretch>
                      <a:fillRect/>
                    </a:stretch>
                  </pic:blipFill>
                  <pic:spPr>
                    <a:xfrm>
                      <a:off x="0" y="0"/>
                      <a:ext cx="647065" cy="966470"/>
                    </a:xfrm>
                    <a:prstGeom prst="rect">
                      <a:avLst/>
                    </a:prstGeom>
                    <a:noFill/>
                    <a:ln w="9525" cmpd="sng">
                      <a:solidFill>
                        <a:srgbClr val="000000"/>
                      </a:solidFill>
                      <a:miter lim="800000"/>
                      <a:headEnd/>
                      <a:tailEnd/>
                    </a:ln>
                  </pic:spPr>
                </pic:pic>
              </a:graphicData>
            </a:graphic>
          </wp:anchor>
        </w:drawing>
      </w:r>
      <w:r>
        <w:rPr>
          <w:color w:val="FF0000"/>
          <w:highlight w:val="none"/>
        </w:rPr>
        <mc:AlternateContent>
          <mc:Choice Requires="wps">
            <w:drawing>
              <wp:anchor distT="0" distB="0" distL="114300" distR="114300" simplePos="0" relativeHeight="251693056" behindDoc="0" locked="0" layoutInCell="1" allowOverlap="1">
                <wp:simplePos x="0" y="0"/>
                <wp:positionH relativeFrom="margin">
                  <wp:posOffset>5706745</wp:posOffset>
                </wp:positionH>
                <wp:positionV relativeFrom="paragraph">
                  <wp:posOffset>2334260</wp:posOffset>
                </wp:positionV>
                <wp:extent cx="1112520" cy="401320"/>
                <wp:effectExtent l="327025" t="9525" r="27305" b="160655"/>
                <wp:wrapNone/>
                <wp:docPr id="58" name="对话气泡: 椭圆形 8"/>
                <wp:cNvGraphicFramePr/>
                <a:graphic xmlns:a="http://schemas.openxmlformats.org/drawingml/2006/main">
                  <a:graphicData uri="http://schemas.microsoft.com/office/word/2010/wordprocessingShape">
                    <wps:wsp>
                      <wps:cNvSpPr/>
                      <wps:spPr>
                        <a:xfrm>
                          <a:off x="0" y="0"/>
                          <a:ext cx="1112520" cy="401320"/>
                        </a:xfrm>
                        <a:prstGeom prst="wedgeEllipseCallout">
                          <a:avLst>
                            <a:gd name="adj1" fmla="val -73001"/>
                            <a:gd name="adj2" fmla="val 78218"/>
                          </a:avLst>
                        </a:prstGeom>
                        <a:solidFill>
                          <a:schemeClr val="bg1"/>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2FA52">
                            <w:pPr>
                              <w:jc w:val="center"/>
                              <w:rPr>
                                <w:color w:val="000000" w:themeColor="text1"/>
                                <w:sz w:val="22"/>
                                <w:szCs w:val="28"/>
                                <w14:textFill>
                                  <w14:solidFill>
                                    <w14:schemeClr w14:val="tx1"/>
                                  </w14:solidFill>
                                </w14:textFill>
                              </w:rPr>
                            </w:pPr>
                            <w:r>
                              <w:rPr>
                                <w:rFonts w:hint="eastAsia"/>
                                <w:color w:val="000000" w:themeColor="text1"/>
                                <w:sz w:val="22"/>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8" o:spid="_x0000_s1026" o:spt="63" type="#_x0000_t63" style="position:absolute;left:0pt;margin-left:449.35pt;margin-top:183.8pt;height:31.6pt;width:87.6pt;mso-position-horizontal-relative:margin;z-index:251693056;v-text-anchor:middle;mso-width-relative:page;mso-height-relative:page;" fillcolor="#FFFFFF [3212]" filled="t" stroked="t" coordsize="21600,21600" o:gfxdata="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BDjIl52gAAAAwB&#10;AAAPAAAAAAAAAAEAIAAAACIAAABkcnMvZG93bnJldi54bWxQSwECFAAUAAAACACHTuJAeVoZ5sQC&#10;AAByBQAADgAAAAAAAAABACAAAAApAQAAZHJzL2Uyb0RvYy54bWxQSwUGAAAAAAYABgBZAQAAXwYA&#10;AAAA&#10;" adj="-4968,27695">
                <v:fill on="t" focussize="0,0"/>
                <v:stroke weight="1.5pt" color="#0070C0 [3204]" miterlimit="8" joinstyle="miter"/>
                <v:imagedata o:title=""/>
                <o:lock v:ext="edit" aspectratio="f"/>
                <v:textbox>
                  <w:txbxContent>
                    <w:p w14:paraId="75F2FA52">
                      <w:pPr>
                        <w:jc w:val="center"/>
                        <w:rPr>
                          <w:color w:val="000000" w:themeColor="text1"/>
                          <w:sz w:val="22"/>
                          <w:szCs w:val="28"/>
                          <w14:textFill>
                            <w14:solidFill>
                              <w14:schemeClr w14:val="tx1"/>
                            </w14:solidFill>
                          </w14:textFill>
                        </w:rPr>
                      </w:pPr>
                      <w:r>
                        <w:rPr>
                          <w:rFonts w:hint="eastAsia"/>
                          <w:color w:val="000000" w:themeColor="text1"/>
                          <w:sz w:val="22"/>
                          <w:szCs w:val="28"/>
                          <w14:textFill>
                            <w14:solidFill>
                              <w14:schemeClr w14:val="tx1"/>
                            </w14:solidFill>
                          </w14:textFill>
                        </w:rPr>
                        <w:t>项目位置</w:t>
                      </w:r>
                    </w:p>
                  </w:txbxContent>
                </v:textbox>
              </v:shape>
            </w:pict>
          </mc:Fallback>
        </mc:AlternateContent>
      </w:r>
      <w:r>
        <w:rPr>
          <w:highlight w:val="none"/>
        </w:rPr>
        <w:drawing>
          <wp:inline distT="0" distB="0" distL="114300" distR="114300">
            <wp:extent cx="8856345" cy="5581650"/>
            <wp:effectExtent l="0" t="0" r="1905" b="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23"/>
                    <a:stretch>
                      <a:fillRect/>
                    </a:stretch>
                  </pic:blipFill>
                  <pic:spPr>
                    <a:xfrm>
                      <a:off x="0" y="0"/>
                      <a:ext cx="8856345" cy="5581650"/>
                    </a:xfrm>
                    <a:prstGeom prst="rect">
                      <a:avLst/>
                    </a:prstGeom>
                    <a:noFill/>
                    <a:ln>
                      <a:noFill/>
                    </a:ln>
                  </pic:spPr>
                </pic:pic>
              </a:graphicData>
            </a:graphic>
          </wp:inline>
        </w:drawing>
      </w:r>
    </w:p>
    <w:p w14:paraId="0C1F1B69">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53" w:name="_Toc24215"/>
      <w:r>
        <w:rPr>
          <w:rFonts w:ascii="Times New Roman" w:hAnsi="Times New Roman" w:eastAsia="黑体"/>
          <w:snapToGrid w:val="0"/>
          <w:color w:val="auto"/>
          <w:sz w:val="21"/>
          <w:szCs w:val="21"/>
          <w:highlight w:val="none"/>
        </w:rPr>
        <w:t xml:space="preserve">附图6 </w:t>
      </w:r>
      <w:r>
        <w:rPr>
          <w:color w:val="auto"/>
          <w:highlight w:val="none"/>
        </w:rPr>
        <w:drawing>
          <wp:anchor distT="0" distB="0" distL="114300" distR="114300" simplePos="0" relativeHeight="251668480" behindDoc="0" locked="0" layoutInCell="1" allowOverlap="1">
            <wp:simplePos x="0" y="0"/>
            <wp:positionH relativeFrom="column">
              <wp:posOffset>46355</wp:posOffset>
            </wp:positionH>
            <wp:positionV relativeFrom="paragraph">
              <wp:posOffset>7367270</wp:posOffset>
            </wp:positionV>
            <wp:extent cx="873760" cy="152400"/>
            <wp:effectExtent l="0" t="0" r="3175" b="635"/>
            <wp:wrapNone/>
            <wp:docPr id="263438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38861" name="图片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873456" cy="152092"/>
                    </a:xfrm>
                    <a:prstGeom prst="rect">
                      <a:avLst/>
                    </a:prstGeom>
                  </pic:spPr>
                </pic:pic>
              </a:graphicData>
            </a:graphic>
          </wp:anchor>
        </w:drawing>
      </w:r>
      <w:r>
        <w:rPr>
          <w:rFonts w:hint="eastAsia" w:ascii="Times New Roman" w:hAnsi="Times New Roman" w:eastAsia="黑体"/>
          <w:snapToGrid w:val="0"/>
          <w:color w:val="auto"/>
          <w:sz w:val="21"/>
          <w:szCs w:val="21"/>
          <w:highlight w:val="none"/>
        </w:rPr>
        <w:t>典型生态措施设计图</w:t>
      </w:r>
      <w:bookmarkEnd w:id="53"/>
    </w:p>
    <w:p w14:paraId="0CD1AA26">
      <w:pPr>
        <w:pStyle w:val="59"/>
        <w:ind w:left="0" w:leftChars="0" w:firstLine="0" w:firstLineChars="0"/>
        <w:rPr>
          <w:rFonts w:hint="eastAsia" w:eastAsia="黑体"/>
          <w:snapToGrid w:val="0"/>
          <w:color w:val="FF0000"/>
          <w:szCs w:val="21"/>
          <w:highlight w:val="none"/>
          <w:lang w:eastAsia="zh-CN"/>
        </w:rPr>
        <w:sectPr>
          <w:pgSz w:w="16838" w:h="23811"/>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eastAsia" w:eastAsia="黑体"/>
          <w:snapToGrid w:val="0"/>
          <w:color w:val="FF0000"/>
          <w:szCs w:val="21"/>
          <w:highlight w:val="none"/>
          <w:lang w:eastAsia="zh-CN"/>
        </w:rPr>
        <w:drawing>
          <wp:inline distT="0" distB="0" distL="114300" distR="114300">
            <wp:extent cx="8855075" cy="12073255"/>
            <wp:effectExtent l="0" t="0" r="3175" b="4445"/>
            <wp:docPr id="18" name="图片 18" descr="大岱河横断面图-设计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大岱河横断面图-设计成果"/>
                    <pic:cNvPicPr>
                      <a:picLocks noChangeAspect="1"/>
                    </pic:cNvPicPr>
                  </pic:nvPicPr>
                  <pic:blipFill>
                    <a:blip r:embed="rId24"/>
                    <a:stretch>
                      <a:fillRect/>
                    </a:stretch>
                  </pic:blipFill>
                  <pic:spPr>
                    <a:xfrm>
                      <a:off x="0" y="0"/>
                      <a:ext cx="8855075" cy="12073255"/>
                    </a:xfrm>
                    <a:prstGeom prst="rect">
                      <a:avLst/>
                    </a:prstGeom>
                  </pic:spPr>
                </pic:pic>
              </a:graphicData>
            </a:graphic>
          </wp:inline>
        </w:drawing>
      </w:r>
    </w:p>
    <w:p w14:paraId="6FAF2038">
      <w:pPr>
        <w:pStyle w:val="59"/>
        <w:ind w:left="0" w:leftChars="0" w:firstLine="0" w:firstLineChars="0"/>
        <w:rPr>
          <w:rFonts w:eastAsia="黑体"/>
          <w:snapToGrid w:val="0"/>
          <w:color w:val="FF0000"/>
          <w:szCs w:val="21"/>
          <w:highlight w:val="none"/>
        </w:rPr>
      </w:pPr>
      <w:r>
        <w:rPr>
          <w:rFonts w:hint="eastAsia" w:eastAsia="黑体"/>
          <w:snapToGrid w:val="0"/>
          <w:color w:val="FF0000"/>
          <w:szCs w:val="21"/>
          <w:highlight w:val="none"/>
          <w:lang w:eastAsia="zh-CN"/>
        </w:rPr>
        <w:drawing>
          <wp:inline distT="0" distB="0" distL="114300" distR="114300">
            <wp:extent cx="8625840" cy="13270230"/>
            <wp:effectExtent l="0" t="0" r="3810" b="7620"/>
            <wp:docPr id="31" name="图片 31" descr="大岱河横断面图-设计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大岱河横断面图-设计成果"/>
                    <pic:cNvPicPr>
                      <a:picLocks noChangeAspect="1"/>
                    </pic:cNvPicPr>
                  </pic:nvPicPr>
                  <pic:blipFill>
                    <a:blip r:embed="rId25"/>
                    <a:stretch>
                      <a:fillRect/>
                    </a:stretch>
                  </pic:blipFill>
                  <pic:spPr>
                    <a:xfrm>
                      <a:off x="0" y="0"/>
                      <a:ext cx="8625840" cy="13270230"/>
                    </a:xfrm>
                    <a:prstGeom prst="rect">
                      <a:avLst/>
                    </a:prstGeom>
                  </pic:spPr>
                </pic:pic>
              </a:graphicData>
            </a:graphic>
          </wp:inline>
        </w:drawing>
      </w:r>
      <w:r>
        <w:rPr>
          <w:rFonts w:hint="eastAsia" w:eastAsia="黑体"/>
          <w:snapToGrid w:val="0"/>
          <w:color w:val="FF0000"/>
          <w:szCs w:val="21"/>
          <w:highlight w:val="none"/>
          <w:lang w:eastAsia="zh-CN"/>
        </w:rPr>
        <w:drawing>
          <wp:inline distT="0" distB="0" distL="114300" distR="114300">
            <wp:extent cx="7594600" cy="13267690"/>
            <wp:effectExtent l="0" t="0" r="6350" b="10160"/>
            <wp:docPr id="43" name="图片 43" descr="大岱河横断面图-设计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大岱河横断面图-设计成果"/>
                    <pic:cNvPicPr>
                      <a:picLocks noChangeAspect="1"/>
                    </pic:cNvPicPr>
                  </pic:nvPicPr>
                  <pic:blipFill>
                    <a:blip r:embed="rId26"/>
                    <a:stretch>
                      <a:fillRect/>
                    </a:stretch>
                  </pic:blipFill>
                  <pic:spPr>
                    <a:xfrm>
                      <a:off x="0" y="0"/>
                      <a:ext cx="7594600" cy="13267690"/>
                    </a:xfrm>
                    <a:prstGeom prst="rect">
                      <a:avLst/>
                    </a:prstGeom>
                  </pic:spPr>
                </pic:pic>
              </a:graphicData>
            </a:graphic>
          </wp:inline>
        </w:drawing>
      </w:r>
    </w:p>
    <w:p w14:paraId="3BF66C0C">
      <w:pPr>
        <w:jc w:val="center"/>
        <w:rPr>
          <w:color w:val="FF0000"/>
          <w:highlight w:val="none"/>
        </w:rPr>
        <w:sectPr>
          <w:pgSz w:w="16838" w:h="23811"/>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3A2B9671">
      <w:pPr>
        <w:pStyle w:val="22"/>
        <w:adjustRightInd w:val="0"/>
        <w:snapToGrid w:val="0"/>
        <w:spacing w:before="0" w:beforeAutospacing="0" w:after="0" w:afterAutospacing="0"/>
        <w:outlineLvl w:val="0"/>
        <w:rPr>
          <w:rFonts w:hint="default" w:ascii="Times New Roman" w:hAnsi="Times New Roman" w:eastAsia="黑体" w:cs="Times New Roman"/>
          <w:snapToGrid w:val="0"/>
          <w:color w:val="auto"/>
          <w:sz w:val="21"/>
          <w:szCs w:val="21"/>
          <w:highlight w:val="none"/>
          <w:lang w:val="en-US" w:eastAsia="zh-CN"/>
        </w:rPr>
      </w:pPr>
      <w:bookmarkStart w:id="54" w:name="_Toc15604"/>
      <w:bookmarkStart w:id="55" w:name="_Toc9268"/>
      <w:r>
        <w:rPr>
          <w:rFonts w:hint="default" w:ascii="Times New Roman" w:hAnsi="Times New Roman" w:eastAsia="黑体" w:cs="Times New Roman"/>
          <w:snapToGrid w:val="0"/>
          <w:color w:val="auto"/>
          <w:sz w:val="21"/>
          <w:szCs w:val="21"/>
          <w:highlight w:val="none"/>
          <w:lang w:val="en-US" w:eastAsia="zh-CN"/>
        </w:rPr>
        <w:t>附图</w:t>
      </w:r>
      <w:r>
        <w:rPr>
          <w:rFonts w:hint="eastAsia" w:ascii="Times New Roman" w:hAnsi="Times New Roman" w:eastAsia="黑体" w:cs="Times New Roman"/>
          <w:snapToGrid w:val="0"/>
          <w:color w:val="auto"/>
          <w:sz w:val="21"/>
          <w:szCs w:val="21"/>
          <w:highlight w:val="none"/>
          <w:lang w:val="en-US" w:eastAsia="zh-CN"/>
        </w:rPr>
        <w:t xml:space="preserve">7 </w:t>
      </w:r>
      <w:r>
        <w:rPr>
          <w:rFonts w:hint="default" w:ascii="Times New Roman" w:hAnsi="Times New Roman" w:eastAsia="黑体" w:cs="Times New Roman"/>
          <w:snapToGrid w:val="0"/>
          <w:color w:val="auto"/>
          <w:sz w:val="21"/>
          <w:szCs w:val="21"/>
          <w:highlight w:val="none"/>
          <w:lang w:val="en-US" w:eastAsia="zh-CN"/>
        </w:rPr>
        <w:t>黑龙江饶河东北黑蜂国家级自然保护区功能区划图</w:t>
      </w:r>
      <w:bookmarkEnd w:id="54"/>
      <w:bookmarkEnd w:id="55"/>
    </w:p>
    <w:tbl>
      <w:tblPr>
        <w:tblStyle w:val="27"/>
        <w:tblW w:w="14712" w:type="dxa"/>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14712"/>
      </w:tblGrid>
      <w:tr w14:paraId="46282F03">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4712" w:type="dxa"/>
            <w:tcBorders>
              <w:tl2br w:val="nil"/>
              <w:tr2bl w:val="nil"/>
            </w:tcBorders>
            <w:noWrap w:val="0"/>
            <w:vAlign w:val="top"/>
          </w:tcPr>
          <w:p w14:paraId="40912312">
            <w:pPr>
              <w:jc w:val="center"/>
              <w:rPr>
                <w:rFonts w:hint="default" w:ascii="Times New Roman" w:hAnsi="Times New Roman" w:cs="Times New Roman"/>
                <w:color w:val="FF0000"/>
                <w:highlight w:val="none"/>
                <w:vertAlign w:val="baseline"/>
                <w:lang w:val="en-US" w:eastAsia="zh-CN"/>
              </w:rPr>
            </w:pPr>
            <w:r>
              <w:rPr>
                <w:rFonts w:hint="default" w:ascii="Times New Roman" w:hAnsi="Times New Roman" w:cs="Times New Roman"/>
                <w:color w:val="FF0000"/>
                <w:sz w:val="21"/>
                <w:highlight w:val="none"/>
              </w:rPr>
              <mc:AlternateContent>
                <mc:Choice Requires="wps">
                  <w:drawing>
                    <wp:anchor distT="0" distB="0" distL="114300" distR="114300" simplePos="0" relativeHeight="251674624" behindDoc="0" locked="0" layoutInCell="1" allowOverlap="1">
                      <wp:simplePos x="0" y="0"/>
                      <wp:positionH relativeFrom="column">
                        <wp:posOffset>6216650</wp:posOffset>
                      </wp:positionH>
                      <wp:positionV relativeFrom="paragraph">
                        <wp:posOffset>2618105</wp:posOffset>
                      </wp:positionV>
                      <wp:extent cx="881380" cy="263525"/>
                      <wp:effectExtent l="426085" t="4445" r="6985" b="551180"/>
                      <wp:wrapNone/>
                      <wp:docPr id="41" name="矩形标注 41"/>
                      <wp:cNvGraphicFramePr/>
                      <a:graphic xmlns:a="http://schemas.openxmlformats.org/drawingml/2006/main">
                        <a:graphicData uri="http://schemas.microsoft.com/office/word/2010/wordprocessingShape">
                          <wps:wsp>
                            <wps:cNvSpPr/>
                            <wps:spPr>
                              <a:xfrm>
                                <a:off x="0" y="0"/>
                                <a:ext cx="881380" cy="263525"/>
                              </a:xfrm>
                              <a:prstGeom prst="wedgeRectCallout">
                                <a:avLst>
                                  <a:gd name="adj1" fmla="val -94880"/>
                                  <a:gd name="adj2" fmla="val 244940"/>
                                </a:avLst>
                              </a:prstGeom>
                              <a:solidFill>
                                <a:srgbClr val="FFFFFF"/>
                              </a:solidFill>
                              <a:ln w="9525" cap="flat" cmpd="sng">
                                <a:solidFill>
                                  <a:srgbClr val="000000"/>
                                </a:solidFill>
                                <a:prstDash val="solid"/>
                                <a:miter/>
                                <a:headEnd type="none" w="med" len="med"/>
                                <a:tailEnd type="none" w="med" len="med"/>
                              </a:ln>
                            </wps:spPr>
                            <wps:txbx>
                              <w:txbxContent>
                                <w:p w14:paraId="1478C978">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489.5pt;margin-top:206.15pt;height:20.75pt;width:69.4pt;z-index:251674624;mso-width-relative:page;mso-height-relative:page;" fillcolor="#FFFFFF" filled="t" stroked="t" coordsize="21600,21600" o:gfxdata="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PAK0TbAAAADAEAAA8AAAAAAAAAAQAgAAAAIgAAAGRycy9k&#10;b3ducmV2LnhtbFBLAQIUABQAAAAIAIdO4kAVyw4HOAIAAI8EAAAOAAAAAAAAAAEAIAAAACoBAABk&#10;cnMvZTJvRG9jLnhtbFBLBQYAAAAABgAGAFkBAADUBQAAAAA=&#10;" adj="-9694,63707">
                      <v:fill on="t" focussize="0,0"/>
                      <v:stroke color="#000000" joinstyle="miter"/>
                      <v:imagedata o:title=""/>
                      <o:lock v:ext="edit" aspectratio="f"/>
                      <v:textbox>
                        <w:txbxContent>
                          <w:p w14:paraId="1478C978">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v:textbox>
                    </v:shape>
                  </w:pict>
                </mc:Fallback>
              </mc:AlternateContent>
            </w:r>
            <w:r>
              <w:rPr>
                <w:sz w:val="28"/>
                <w:highlight w:val="none"/>
              </w:rPr>
              <mc:AlternateContent>
                <mc:Choice Requires="wps">
                  <w:drawing>
                    <wp:anchor distT="0" distB="0" distL="114300" distR="114300" simplePos="0" relativeHeight="251675648" behindDoc="0" locked="0" layoutInCell="1" allowOverlap="1">
                      <wp:simplePos x="0" y="0"/>
                      <wp:positionH relativeFrom="column">
                        <wp:posOffset>5728970</wp:posOffset>
                      </wp:positionH>
                      <wp:positionV relativeFrom="paragraph">
                        <wp:posOffset>3399155</wp:posOffset>
                      </wp:positionV>
                      <wp:extent cx="76200" cy="76200"/>
                      <wp:effectExtent l="13970" t="15875" r="24130" b="22225"/>
                      <wp:wrapNone/>
                      <wp:docPr id="40" name="五角星 40"/>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51.1pt;margin-top:267.65pt;height:6pt;width:6pt;z-index:251675648;mso-width-relative:page;mso-height-relative:page;" fillcolor="#FF0000" filled="t" stroked="t" coordsize="76200,76200" o:gfxdata="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ujIubZAAAACwEAAA8AAAAAAAAAAQAgAAAAIgAAAGRycy9kb3ducmV2&#10;LnhtbFBLAQIUABQAAAAIAIdO4kCaPn6j+wEAACEEAAAOAAAAAAAAAAEAIAAAACgBAABkcnMvZTJv&#10;RG9jLnhtbFBLBQYAAAAABgAGAFkBAACVBQAAAAA=&#10;" path="m0,29105l29105,29105,38100,0,47094,29105,76199,29105,52652,47093,61647,76199,38100,58211,14552,76199,23547,47093xe">
                      <v:path o:connectlocs="38100,0;0,29105;14552,76199;61647,76199;76199,29105" o:connectangles="247,164,82,82,0"/>
                      <v:fill on="t" focussize="0,0"/>
                      <v:stroke color="#FF0000" joinstyle="miter"/>
                      <v:imagedata o:title=""/>
                      <o:lock v:ext="edit" aspectratio="f"/>
                    </v:shape>
                  </w:pict>
                </mc:Fallback>
              </mc:AlternateContent>
            </w:r>
            <w:r>
              <w:rPr>
                <w:rFonts w:hint="default" w:ascii="Times New Roman" w:hAnsi="Times New Roman" w:cs="Times New Roman"/>
                <w:color w:val="FF0000"/>
                <w:highlight w:val="none"/>
                <w:vertAlign w:val="baseline"/>
                <w:lang w:val="en-US" w:eastAsia="zh-CN"/>
              </w:rPr>
              <w:drawing>
                <wp:inline distT="0" distB="0" distL="114300" distR="114300">
                  <wp:extent cx="6944360" cy="4910455"/>
                  <wp:effectExtent l="0" t="0" r="8890" b="4445"/>
                  <wp:docPr id="42" name="图片 7" descr="东北黑蜂保护区规划图（调整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descr="东北黑蜂保护区规划图（调整后）"/>
                          <pic:cNvPicPr>
                            <a:picLocks noChangeAspect="1"/>
                          </pic:cNvPicPr>
                        </pic:nvPicPr>
                        <pic:blipFill>
                          <a:blip r:embed="rId27"/>
                          <a:stretch>
                            <a:fillRect/>
                          </a:stretch>
                        </pic:blipFill>
                        <pic:spPr>
                          <a:xfrm>
                            <a:off x="0" y="0"/>
                            <a:ext cx="6944360" cy="4910455"/>
                          </a:xfrm>
                          <a:prstGeom prst="rect">
                            <a:avLst/>
                          </a:prstGeom>
                          <a:noFill/>
                          <a:ln>
                            <a:noFill/>
                          </a:ln>
                        </pic:spPr>
                      </pic:pic>
                    </a:graphicData>
                  </a:graphic>
                </wp:inline>
              </w:drawing>
            </w:r>
          </w:p>
        </w:tc>
      </w:tr>
    </w:tbl>
    <w:p w14:paraId="1557178D">
      <w:pPr>
        <w:jc w:val="center"/>
        <w:rPr>
          <w:rFonts w:hint="eastAsia"/>
          <w:color w:val="FF0000"/>
          <w:highlight w:val="none"/>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67A8A20B">
      <w:pPr>
        <w:pStyle w:val="22"/>
        <w:adjustRightInd w:val="0"/>
        <w:snapToGrid w:val="0"/>
        <w:spacing w:before="0" w:beforeAutospacing="0" w:after="0" w:afterAutospacing="0"/>
        <w:outlineLvl w:val="0"/>
        <w:rPr>
          <w:rFonts w:hint="default" w:ascii="Times New Roman" w:hAnsi="Times New Roman" w:eastAsia="黑体" w:cs="Times New Roman"/>
          <w:snapToGrid w:val="0"/>
          <w:color w:val="auto"/>
          <w:sz w:val="21"/>
          <w:szCs w:val="21"/>
          <w:highlight w:val="none"/>
          <w:lang w:val="en-US" w:eastAsia="zh-CN"/>
        </w:rPr>
      </w:pPr>
      <w:bookmarkStart w:id="56" w:name="_Toc20466"/>
      <w:r>
        <w:rPr>
          <w:rFonts w:hint="eastAsia" w:ascii="Times New Roman" w:hAnsi="Times New Roman" w:eastAsia="黑体" w:cs="Times New Roman"/>
          <w:snapToGrid w:val="0"/>
          <w:color w:val="auto"/>
          <w:sz w:val="21"/>
          <w:szCs w:val="21"/>
          <w:highlight w:val="none"/>
          <w:lang w:val="en-US" w:eastAsia="zh-CN"/>
        </w:rPr>
        <w:t>附图8 饶河乌苏里江国家湿地公园功能分区图</w:t>
      </w:r>
      <w:bookmarkEnd w:id="56"/>
    </w:p>
    <w:p w14:paraId="1A0F87F4">
      <w:pPr>
        <w:jc w:val="center"/>
        <w:rPr>
          <w:rFonts w:hint="default"/>
          <w:color w:val="FF0000"/>
          <w:highlight w:val="no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default" w:ascii="Times New Roman" w:hAnsi="Times New Roman" w:cs="Times New Roman"/>
          <w:color w:val="FF0000"/>
          <w:sz w:val="21"/>
          <w:highlight w:val="none"/>
        </w:rPr>
        <mc:AlternateContent>
          <mc:Choice Requires="wps">
            <w:drawing>
              <wp:anchor distT="0" distB="0" distL="114300" distR="114300" simplePos="0" relativeHeight="251696128" behindDoc="0" locked="0" layoutInCell="1" allowOverlap="1">
                <wp:simplePos x="0" y="0"/>
                <wp:positionH relativeFrom="column">
                  <wp:posOffset>812800</wp:posOffset>
                </wp:positionH>
                <wp:positionV relativeFrom="paragraph">
                  <wp:posOffset>1385570</wp:posOffset>
                </wp:positionV>
                <wp:extent cx="881380" cy="263525"/>
                <wp:effectExtent l="4445" t="909320" r="9525" b="8255"/>
                <wp:wrapNone/>
                <wp:docPr id="57" name="矩形标注 57"/>
                <wp:cNvGraphicFramePr/>
                <a:graphic xmlns:a="http://schemas.openxmlformats.org/drawingml/2006/main">
                  <a:graphicData uri="http://schemas.microsoft.com/office/word/2010/wordprocessingShape">
                    <wps:wsp>
                      <wps:cNvSpPr/>
                      <wps:spPr>
                        <a:xfrm>
                          <a:off x="0" y="0"/>
                          <a:ext cx="881380" cy="263525"/>
                        </a:xfrm>
                        <a:prstGeom prst="wedgeRectCallout">
                          <a:avLst>
                            <a:gd name="adj1" fmla="val 1657"/>
                            <a:gd name="adj2" fmla="val -380843"/>
                          </a:avLst>
                        </a:prstGeom>
                        <a:noFill/>
                        <a:ln w="9525" cap="flat" cmpd="sng">
                          <a:solidFill>
                            <a:srgbClr val="000000"/>
                          </a:solidFill>
                          <a:prstDash val="solid"/>
                          <a:miter/>
                          <a:headEnd type="none" w="med" len="med"/>
                          <a:tailEnd type="none" w="med" len="med"/>
                        </a:ln>
                      </wps:spPr>
                      <wps:txbx>
                        <w:txbxContent>
                          <w:p w14:paraId="22B7AC5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FF0000"/>
                                <w:lang w:val="en-US" w:eastAsia="zh-CN"/>
                              </w:rPr>
                            </w:pPr>
                            <w:r>
                              <w:rPr>
                                <w:rFonts w:hint="eastAsia"/>
                                <w:color w:val="FF0000"/>
                                <w:lang w:val="en-US" w:eastAsia="zh-CN"/>
                              </w:rPr>
                              <w:t>本项目位置</w:t>
                            </w:r>
                          </w:p>
                        </w:txbxContent>
                      </wps:txbx>
                      <wps:bodyPr upright="1"/>
                    </wps:wsp>
                  </a:graphicData>
                </a:graphic>
              </wp:anchor>
            </w:drawing>
          </mc:Choice>
          <mc:Fallback>
            <w:pict>
              <v:shape id="_x0000_s1026" o:spid="_x0000_s1026" o:spt="61" type="#_x0000_t61" style="position:absolute;left:0pt;margin-left:64pt;margin-top:109.1pt;height:20.75pt;width:69.4pt;z-index:251696128;mso-width-relative:page;mso-height-relative:page;" filled="f" stroked="t" coordsize="21600,21600" o:gfxdata="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duUSH2AAAAAsBAAAPAAAAAAAAAAEAIAAAACIAAABkcnMvZG93bnJldi54&#10;bWxQSwECFAAUAAAACACHTuJARYRblzMCAABlBAAADgAAAAAAAAABACAAAAAnAQAAZHJzL2Uyb0Rv&#10;Yy54bWxQSwUGAAAAAAYABgBZAQAAzAUAAAAA&#10;" adj="11158,-71462">
                <v:fill on="f" focussize="0,0"/>
                <v:stroke color="#000000" joinstyle="miter"/>
                <v:imagedata o:title=""/>
                <o:lock v:ext="edit" aspectratio="f"/>
                <v:textbox>
                  <w:txbxContent>
                    <w:p w14:paraId="22B7AC5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FF0000"/>
                          <w:lang w:val="en-US" w:eastAsia="zh-CN"/>
                        </w:rPr>
                      </w:pPr>
                      <w:r>
                        <w:rPr>
                          <w:rFonts w:hint="eastAsia"/>
                          <w:color w:val="FF0000"/>
                          <w:lang w:val="en-US" w:eastAsia="zh-CN"/>
                        </w:rPr>
                        <w:t>本项目位置</w:t>
                      </w:r>
                    </w:p>
                  </w:txbxContent>
                </v:textbox>
              </v:shape>
            </w:pict>
          </mc:Fallback>
        </mc:AlternateContent>
      </w:r>
      <w:r>
        <w:rPr>
          <w:rFonts w:hint="default"/>
          <w:color w:val="FF0000"/>
          <w:highlight w:val="none"/>
          <w:lang w:val="en-US" w:eastAsia="zh-CN"/>
        </w:rPr>
        <w:drawing>
          <wp:inline distT="0" distB="0" distL="114300" distR="114300">
            <wp:extent cx="5730240" cy="8107680"/>
            <wp:effectExtent l="0" t="0" r="3810" b="7620"/>
            <wp:docPr id="5" name="图片 5" descr="cb7fca799be6b852aa1526aab7eee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b7fca799be6b852aa1526aab7eeeec"/>
                    <pic:cNvPicPr>
                      <a:picLocks noChangeAspect="1"/>
                    </pic:cNvPicPr>
                  </pic:nvPicPr>
                  <pic:blipFill>
                    <a:blip r:embed="rId28"/>
                    <a:stretch>
                      <a:fillRect/>
                    </a:stretch>
                  </pic:blipFill>
                  <pic:spPr>
                    <a:xfrm>
                      <a:off x="0" y="0"/>
                      <a:ext cx="5730240" cy="8107680"/>
                    </a:xfrm>
                    <a:prstGeom prst="rect">
                      <a:avLst/>
                    </a:prstGeom>
                  </pic:spPr>
                </pic:pic>
              </a:graphicData>
            </a:graphic>
          </wp:inline>
        </w:drawing>
      </w:r>
    </w:p>
    <w:p w14:paraId="1D42FBAB">
      <w:pPr>
        <w:pStyle w:val="22"/>
        <w:adjustRightInd w:val="0"/>
        <w:snapToGrid w:val="0"/>
        <w:spacing w:before="0" w:beforeAutospacing="0" w:after="0" w:afterAutospacing="0"/>
        <w:outlineLvl w:val="0"/>
        <w:rPr>
          <w:rFonts w:hint="default" w:ascii="Times New Roman" w:hAnsi="Times New Roman" w:eastAsia="黑体" w:cs="Times New Roman"/>
          <w:snapToGrid w:val="0"/>
          <w:color w:val="auto"/>
          <w:sz w:val="21"/>
          <w:szCs w:val="21"/>
          <w:highlight w:val="none"/>
          <w:lang w:val="en-US" w:eastAsia="zh-CN"/>
        </w:rPr>
      </w:pPr>
      <w:bookmarkStart w:id="57" w:name="_Toc28456"/>
      <w:r>
        <w:rPr>
          <w:rFonts w:hint="eastAsia" w:ascii="Times New Roman" w:hAnsi="Times New Roman" w:eastAsia="黑体" w:cs="Times New Roman"/>
          <w:snapToGrid w:val="0"/>
          <w:color w:val="auto"/>
          <w:sz w:val="21"/>
          <w:szCs w:val="21"/>
          <w:highlight w:val="none"/>
          <w:lang w:val="en-US" w:eastAsia="zh-CN"/>
        </w:rPr>
        <w:t>附图9 黑龙江大佳河省级自然保护区功能区划图</w:t>
      </w:r>
      <w:bookmarkEnd w:id="57"/>
    </w:p>
    <w:p w14:paraId="0B340F70">
      <w:pPr>
        <w:pStyle w:val="63"/>
        <w:spacing w:line="240" w:lineRule="auto"/>
        <w:ind w:left="0" w:leftChars="0" w:firstLine="0" w:firstLineChars="0"/>
        <w:jc w:val="both"/>
        <w:rPr>
          <w:highlight w:val="none"/>
        </w:rPr>
      </w:pPr>
      <w:r>
        <w:rPr>
          <w:rFonts w:hint="default" w:ascii="Times New Roman" w:hAnsi="Times New Roman" w:cs="Times New Roman"/>
          <w:color w:val="FF0000"/>
          <w:sz w:val="21"/>
          <w:highlight w:val="none"/>
        </w:rPr>
        <mc:AlternateContent>
          <mc:Choice Requires="wps">
            <w:drawing>
              <wp:anchor distT="0" distB="0" distL="114300" distR="114300" simplePos="0" relativeHeight="251698176" behindDoc="0" locked="0" layoutInCell="1" allowOverlap="1">
                <wp:simplePos x="0" y="0"/>
                <wp:positionH relativeFrom="column">
                  <wp:posOffset>3347085</wp:posOffset>
                </wp:positionH>
                <wp:positionV relativeFrom="paragraph">
                  <wp:posOffset>3846195</wp:posOffset>
                </wp:positionV>
                <wp:extent cx="881380" cy="263525"/>
                <wp:effectExtent l="4445" t="5080" r="9525" b="474345"/>
                <wp:wrapNone/>
                <wp:docPr id="78" name="矩形标注 78"/>
                <wp:cNvGraphicFramePr/>
                <a:graphic xmlns:a="http://schemas.openxmlformats.org/drawingml/2006/main">
                  <a:graphicData uri="http://schemas.microsoft.com/office/word/2010/wordprocessingShape">
                    <wps:wsp>
                      <wps:cNvSpPr/>
                      <wps:spPr>
                        <a:xfrm>
                          <a:off x="0" y="0"/>
                          <a:ext cx="881380" cy="263525"/>
                        </a:xfrm>
                        <a:prstGeom prst="wedgeRectCallout">
                          <a:avLst>
                            <a:gd name="adj1" fmla="val 36383"/>
                            <a:gd name="adj2" fmla="val 215542"/>
                          </a:avLst>
                        </a:prstGeom>
                        <a:noFill/>
                        <a:ln w="9525" cap="flat" cmpd="sng">
                          <a:solidFill>
                            <a:srgbClr val="000000"/>
                          </a:solidFill>
                          <a:prstDash val="solid"/>
                          <a:miter/>
                          <a:headEnd type="none" w="med" len="med"/>
                          <a:tailEnd type="none" w="med" len="med"/>
                        </a:ln>
                      </wps:spPr>
                      <wps:txbx>
                        <w:txbxContent>
                          <w:p w14:paraId="62E85778">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FF0000"/>
                                <w:lang w:val="en-US" w:eastAsia="zh-CN"/>
                              </w:rPr>
                            </w:pPr>
                            <w:r>
                              <w:rPr>
                                <w:rFonts w:hint="eastAsia"/>
                                <w:color w:val="FF0000"/>
                                <w:lang w:val="en-US" w:eastAsia="zh-CN"/>
                              </w:rPr>
                              <w:t>本项目位置</w:t>
                            </w:r>
                          </w:p>
                        </w:txbxContent>
                      </wps:txbx>
                      <wps:bodyPr upright="1"/>
                    </wps:wsp>
                  </a:graphicData>
                </a:graphic>
              </wp:anchor>
            </w:drawing>
          </mc:Choice>
          <mc:Fallback>
            <w:pict>
              <v:shape id="_x0000_s1026" o:spid="_x0000_s1026" o:spt="61" type="#_x0000_t61" style="position:absolute;left:0pt;margin-left:263.55pt;margin-top:302.85pt;height:20.75pt;width:69.4pt;z-index:251698176;mso-width-relative:page;mso-height-relative:page;" filled="f" stroked="t" coordsize="21600,21600" o:gfxdata="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5ptry9oAAAALAQAADwAAAAAAAAABACAAAAAiAAAAZHJzL2Rvd25yZXYu&#10;eG1sUEsBAhQAFAAAAAgAh07iQBtTEUoyAgAAZQQAAA4AAAAAAAAAAQAgAAAAKQEAAGRycy9lMm9E&#10;b2MueG1sUEsFBgAAAAAGAAYAWQEAAM0FAAAAAA==&#10;" adj="18659,57357">
                <v:fill on="f" focussize="0,0"/>
                <v:stroke color="#000000" joinstyle="miter"/>
                <v:imagedata o:title=""/>
                <o:lock v:ext="edit" aspectratio="f"/>
                <v:textbox>
                  <w:txbxContent>
                    <w:p w14:paraId="62E85778">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FF0000"/>
                          <w:lang w:val="en-US" w:eastAsia="zh-CN"/>
                        </w:rPr>
                      </w:pPr>
                      <w:r>
                        <w:rPr>
                          <w:rFonts w:hint="eastAsia"/>
                          <w:color w:val="FF0000"/>
                          <w:lang w:val="en-US" w:eastAsia="zh-CN"/>
                        </w:rPr>
                        <w:t>本项目位置</w:t>
                      </w:r>
                    </w:p>
                  </w:txbxContent>
                </v:textbox>
              </v:shape>
            </w:pict>
          </mc:Fallback>
        </mc:AlternateContent>
      </w:r>
      <w:r>
        <w:rPr>
          <w:highlight w:val="none"/>
        </w:rPr>
        <w:drawing>
          <wp:anchor distT="0" distB="0" distL="114300" distR="114300" simplePos="0" relativeHeight="251697152" behindDoc="0" locked="0" layoutInCell="1" allowOverlap="1">
            <wp:simplePos x="0" y="0"/>
            <wp:positionH relativeFrom="column">
              <wp:posOffset>295275</wp:posOffset>
            </wp:positionH>
            <wp:positionV relativeFrom="paragraph">
              <wp:posOffset>710565</wp:posOffset>
            </wp:positionV>
            <wp:extent cx="571500" cy="539115"/>
            <wp:effectExtent l="0" t="0" r="0" b="13335"/>
            <wp:wrapNone/>
            <wp:docPr id="77" name="图片 2" descr="饶河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饶河县风玫瑰"/>
                    <pic:cNvPicPr>
                      <a:picLocks noChangeAspect="1"/>
                    </pic:cNvPicPr>
                  </pic:nvPicPr>
                  <pic:blipFill>
                    <a:blip r:embed="rId29"/>
                    <a:stretch>
                      <a:fillRect/>
                    </a:stretch>
                  </pic:blipFill>
                  <pic:spPr>
                    <a:xfrm>
                      <a:off x="0" y="0"/>
                      <a:ext cx="571500" cy="539115"/>
                    </a:xfrm>
                    <a:prstGeom prst="rect">
                      <a:avLst/>
                    </a:prstGeom>
                    <a:noFill/>
                    <a:ln>
                      <a:noFill/>
                    </a:ln>
                  </pic:spPr>
                </pic:pic>
              </a:graphicData>
            </a:graphic>
          </wp:anchor>
        </w:drawing>
      </w:r>
      <w:r>
        <w:rPr>
          <w:highlight w:val="none"/>
        </w:rPr>
        <w:drawing>
          <wp:inline distT="0" distB="0" distL="114300" distR="114300">
            <wp:extent cx="5347335" cy="7787640"/>
            <wp:effectExtent l="0" t="0" r="5715" b="3810"/>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30"/>
                    <a:stretch>
                      <a:fillRect/>
                    </a:stretch>
                  </pic:blipFill>
                  <pic:spPr>
                    <a:xfrm>
                      <a:off x="0" y="0"/>
                      <a:ext cx="5347335" cy="7787640"/>
                    </a:xfrm>
                    <a:prstGeom prst="rect">
                      <a:avLst/>
                    </a:prstGeom>
                    <a:noFill/>
                    <a:ln>
                      <a:noFill/>
                    </a:ln>
                  </pic:spPr>
                </pic:pic>
              </a:graphicData>
            </a:graphic>
          </wp:inline>
        </w:drawing>
      </w:r>
    </w:p>
    <w:p w14:paraId="4FD8B6C9">
      <w:pPr>
        <w:jc w:val="center"/>
        <w:rPr>
          <w:rFonts w:hint="default"/>
          <w:color w:val="FF0000"/>
          <w:highlight w:val="no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59E2809C">
      <w:pPr>
        <w:pStyle w:val="22"/>
        <w:adjustRightInd w:val="0"/>
        <w:snapToGrid w:val="0"/>
        <w:spacing w:before="0" w:beforeAutospacing="0" w:after="0" w:afterAutospacing="0"/>
        <w:outlineLvl w:val="0"/>
        <w:rPr>
          <w:rFonts w:hint="default" w:ascii="Times New Roman" w:hAnsi="Times New Roman" w:eastAsia="黑体" w:cs="Times New Roman"/>
          <w:snapToGrid w:val="0"/>
          <w:color w:val="auto"/>
          <w:sz w:val="21"/>
          <w:szCs w:val="21"/>
          <w:highlight w:val="none"/>
          <w:lang w:val="en-US" w:eastAsia="zh-CN"/>
        </w:rPr>
      </w:pPr>
      <w:bookmarkStart w:id="58" w:name="_Toc8619"/>
      <w:r>
        <w:rPr>
          <w:rFonts w:hint="eastAsia" w:ascii="Times New Roman" w:hAnsi="Times New Roman" w:eastAsia="黑体" w:cs="Times New Roman"/>
          <w:snapToGrid w:val="0"/>
          <w:color w:val="auto"/>
          <w:sz w:val="21"/>
          <w:szCs w:val="21"/>
          <w:highlight w:val="none"/>
          <w:lang w:val="en-US" w:eastAsia="zh-CN"/>
        </w:rPr>
        <w:t xml:space="preserve">附图10 </w:t>
      </w:r>
      <w:r>
        <w:rPr>
          <w:rFonts w:hint="default" w:ascii="Times New Roman" w:hAnsi="Times New Roman" w:eastAsia="黑体" w:cs="Times New Roman"/>
          <w:snapToGrid w:val="0"/>
          <w:color w:val="auto"/>
          <w:sz w:val="21"/>
          <w:szCs w:val="21"/>
          <w:highlight w:val="none"/>
          <w:lang w:val="en-US" w:eastAsia="zh-CN"/>
        </w:rPr>
        <w:t>黑龙江省主体功能区划图</w:t>
      </w:r>
      <w:bookmarkEnd w:id="58"/>
    </w:p>
    <w:tbl>
      <w:tblPr>
        <w:tblStyle w:val="27"/>
        <w:tblW w:w="14627" w:type="dxa"/>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14627"/>
      </w:tblGrid>
      <w:tr w14:paraId="49DA0B0B">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14627" w:type="dxa"/>
            <w:tcBorders>
              <w:tl2br w:val="nil"/>
              <w:tr2bl w:val="nil"/>
            </w:tcBorders>
            <w:noWrap w:val="0"/>
            <w:vAlign w:val="top"/>
          </w:tcPr>
          <w:p w14:paraId="0146E31E">
            <w:pPr>
              <w:jc w:val="center"/>
              <w:rPr>
                <w:rFonts w:hint="default" w:ascii="Times New Roman" w:hAnsi="Times New Roman" w:cs="Times New Roman"/>
                <w:color w:val="FF0000"/>
                <w:highlight w:val="none"/>
                <w:vertAlign w:val="baseline"/>
                <w:lang w:val="en-US" w:eastAsia="zh-CN"/>
              </w:rPr>
            </w:pPr>
            <w:r>
              <w:rPr>
                <w:rFonts w:hint="default" w:ascii="Times New Roman" w:hAnsi="Times New Roman" w:cs="Times New Roman"/>
                <w:color w:val="FF0000"/>
                <w:sz w:val="21"/>
                <w:highlight w:val="none"/>
              </w:rPr>
              <mc:AlternateContent>
                <mc:Choice Requires="wps">
                  <w:drawing>
                    <wp:anchor distT="0" distB="0" distL="114300" distR="114300" simplePos="0" relativeHeight="251676672" behindDoc="0" locked="0" layoutInCell="1" allowOverlap="1">
                      <wp:simplePos x="0" y="0"/>
                      <wp:positionH relativeFrom="column">
                        <wp:posOffset>6435090</wp:posOffset>
                      </wp:positionH>
                      <wp:positionV relativeFrom="paragraph">
                        <wp:posOffset>3763010</wp:posOffset>
                      </wp:positionV>
                      <wp:extent cx="894080" cy="263525"/>
                      <wp:effectExtent l="252095" t="835025" r="15875" b="6350"/>
                      <wp:wrapNone/>
                      <wp:docPr id="44" name="矩形标注 44"/>
                      <wp:cNvGraphicFramePr/>
                      <a:graphic xmlns:a="http://schemas.openxmlformats.org/drawingml/2006/main">
                        <a:graphicData uri="http://schemas.microsoft.com/office/word/2010/wordprocessingShape">
                          <wps:wsp>
                            <wps:cNvSpPr/>
                            <wps:spPr>
                              <a:xfrm>
                                <a:off x="0" y="0"/>
                                <a:ext cx="894080" cy="263525"/>
                              </a:xfrm>
                              <a:prstGeom prst="wedgeRectCallout">
                                <a:avLst>
                                  <a:gd name="adj1" fmla="val -75917"/>
                                  <a:gd name="adj2" fmla="val -354333"/>
                                </a:avLst>
                              </a:prstGeom>
                              <a:solidFill>
                                <a:srgbClr val="FFFFFF"/>
                              </a:solidFill>
                              <a:ln w="9525" cap="flat" cmpd="sng">
                                <a:solidFill>
                                  <a:srgbClr val="000000"/>
                                </a:solidFill>
                                <a:prstDash val="solid"/>
                                <a:miter/>
                                <a:headEnd type="none" w="med" len="med"/>
                                <a:tailEnd type="none" w="med" len="med"/>
                              </a:ln>
                            </wps:spPr>
                            <wps:txbx>
                              <w:txbxContent>
                                <w:p w14:paraId="7A886D3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506.7pt;margin-top:296.3pt;height:20.75pt;width:70.4pt;z-index:251676672;mso-width-relative:page;mso-height-relative:page;" fillcolor="#FFFFFF" filled="t" stroked="t" coordsize="21600,21600" o:gfxdata="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m1KwK3AAAAA0BAAAPAAAAAAAAAAEAIAAAACIAAABkcnMv&#10;ZG93bnJldi54bWxQSwECFAAUAAAACACHTuJAHmJ5GTgCAACQBAAADgAAAAAAAAABACAAAAArAQAA&#10;ZHJzL2Uyb0RvYy54bWxQSwUGAAAAAAYABgBZAQAA1QUAAAAA&#10;" adj="-5598,-65736">
                      <v:fill on="t" focussize="0,0"/>
                      <v:stroke color="#000000" joinstyle="miter"/>
                      <v:imagedata o:title=""/>
                      <o:lock v:ext="edit" aspectratio="f"/>
                      <v:textbox>
                        <w:txbxContent>
                          <w:p w14:paraId="7A886D30">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FF0000"/>
                <w:highlight w:val="none"/>
                <w:vertAlign w:val="baseline"/>
                <w:lang w:val="en-US" w:eastAsia="zh-CN"/>
              </w:rPr>
              <w:drawing>
                <wp:inline distT="0" distB="0" distL="114300" distR="114300">
                  <wp:extent cx="6092190" cy="4612005"/>
                  <wp:effectExtent l="0" t="0" r="3810" b="17145"/>
                  <wp:docPr id="45" name="图片 8" descr="e3fd0ba2ccf9f33ab3ce6d467035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descr="e3fd0ba2ccf9f33ab3ce6d46703592f"/>
                          <pic:cNvPicPr>
                            <a:picLocks noChangeAspect="1"/>
                          </pic:cNvPicPr>
                        </pic:nvPicPr>
                        <pic:blipFill>
                          <a:blip r:embed="rId31"/>
                          <a:stretch>
                            <a:fillRect/>
                          </a:stretch>
                        </pic:blipFill>
                        <pic:spPr>
                          <a:xfrm>
                            <a:off x="0" y="0"/>
                            <a:ext cx="6092190" cy="4612005"/>
                          </a:xfrm>
                          <a:prstGeom prst="rect">
                            <a:avLst/>
                          </a:prstGeom>
                          <a:noFill/>
                          <a:ln>
                            <a:noFill/>
                          </a:ln>
                        </pic:spPr>
                      </pic:pic>
                    </a:graphicData>
                  </a:graphic>
                </wp:inline>
              </w:drawing>
            </w:r>
          </w:p>
        </w:tc>
      </w:tr>
    </w:tbl>
    <w:p w14:paraId="21796A03">
      <w:pPr>
        <w:pStyle w:val="22"/>
        <w:adjustRightInd w:val="0"/>
        <w:snapToGrid w:val="0"/>
        <w:spacing w:before="0" w:beforeAutospacing="0" w:after="0" w:afterAutospacing="0"/>
        <w:outlineLvl w:val="0"/>
        <w:rPr>
          <w:rFonts w:hint="eastAsia" w:ascii="Times New Roman" w:hAnsi="Times New Roman" w:eastAsia="黑体"/>
          <w:snapToGrid w:val="0"/>
          <w:color w:val="FF0000"/>
          <w:sz w:val="21"/>
          <w:szCs w:val="21"/>
          <w:highlight w:val="no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p>
    <w:p w14:paraId="71959E2A">
      <w:pPr>
        <w:pStyle w:val="22"/>
        <w:adjustRightInd w:val="0"/>
        <w:snapToGrid w:val="0"/>
        <w:spacing w:before="0" w:beforeAutospacing="0" w:after="0" w:afterAutospacing="0"/>
        <w:outlineLvl w:val="0"/>
        <w:rPr>
          <w:rFonts w:hint="default" w:ascii="Times New Roman" w:hAnsi="Times New Roman" w:eastAsia="黑体" w:cs="Times New Roman"/>
          <w:snapToGrid w:val="0"/>
          <w:color w:val="auto"/>
          <w:sz w:val="21"/>
          <w:szCs w:val="21"/>
          <w:highlight w:val="none"/>
          <w:lang w:val="en-US" w:eastAsia="zh-CN"/>
        </w:rPr>
      </w:pPr>
      <w:bookmarkStart w:id="59" w:name="_Toc20387"/>
      <w:r>
        <w:rPr>
          <w:rFonts w:hint="eastAsia" w:ascii="Times New Roman" w:hAnsi="Times New Roman" w:eastAsia="黑体" w:cs="Times New Roman"/>
          <w:snapToGrid w:val="0"/>
          <w:color w:val="auto"/>
          <w:sz w:val="21"/>
          <w:szCs w:val="21"/>
          <w:highlight w:val="none"/>
          <w:lang w:val="en-US" w:eastAsia="zh-CN"/>
        </w:rPr>
        <w:t>附图11 黑</w:t>
      </w:r>
      <w:r>
        <w:rPr>
          <w:rFonts w:hint="default" w:ascii="Times New Roman" w:hAnsi="Times New Roman" w:eastAsia="黑体" w:cs="Times New Roman"/>
          <w:snapToGrid w:val="0"/>
          <w:color w:val="auto"/>
          <w:sz w:val="21"/>
          <w:szCs w:val="21"/>
          <w:highlight w:val="none"/>
          <w:lang w:val="en-US" w:eastAsia="zh-CN"/>
        </w:rPr>
        <w:t>龙江省生态功能区划图</w:t>
      </w:r>
      <w:bookmarkEnd w:id="59"/>
    </w:p>
    <w:p w14:paraId="0E67777D">
      <w:pPr>
        <w:pStyle w:val="22"/>
        <w:adjustRightInd w:val="0"/>
        <w:snapToGrid w:val="0"/>
        <w:spacing w:before="0" w:beforeAutospacing="0" w:after="0" w:afterAutospacing="0"/>
        <w:outlineLvl w:val="0"/>
        <w:rPr>
          <w:rFonts w:hint="default" w:ascii="Times New Roman" w:hAnsi="Times New Roman" w:eastAsia="宋体" w:cs="Times New Roman"/>
          <w:color w:val="000000"/>
          <w:highlight w:val="none"/>
          <w:vertAlign w:val="baseli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bookmarkStart w:id="60" w:name="_Toc21348"/>
      <w:bookmarkStart w:id="61" w:name="_Toc11875"/>
      <w:bookmarkStart w:id="62" w:name="_Toc27115"/>
      <w:bookmarkStart w:id="63" w:name="_Toc11732"/>
      <w:bookmarkStart w:id="64" w:name="_Toc26965"/>
      <w:bookmarkStart w:id="65" w:name="_Toc24311"/>
      <w:bookmarkStart w:id="66" w:name="_Toc26918"/>
      <w:bookmarkStart w:id="67" w:name="_Toc15788"/>
      <w:bookmarkStart w:id="68" w:name="_Toc17075"/>
      <w:r>
        <w:rPr>
          <w:rFonts w:hint="default" w:ascii="Times New Roman" w:hAnsi="Times New Roman" w:cs="Times New Roman"/>
          <w:color w:val="000000"/>
          <w:sz w:val="21"/>
          <w:highlight w:val="none"/>
        </w:rPr>
        <mc:AlternateContent>
          <mc:Choice Requires="wps">
            <w:drawing>
              <wp:anchor distT="0" distB="0" distL="114300" distR="114300" simplePos="0" relativeHeight="251679744" behindDoc="0" locked="0" layoutInCell="1" allowOverlap="1">
                <wp:simplePos x="0" y="0"/>
                <wp:positionH relativeFrom="column">
                  <wp:posOffset>4182745</wp:posOffset>
                </wp:positionH>
                <wp:positionV relativeFrom="paragraph">
                  <wp:posOffset>4697095</wp:posOffset>
                </wp:positionV>
                <wp:extent cx="894080" cy="263525"/>
                <wp:effectExtent l="4445" t="5080" r="549275" b="931545"/>
                <wp:wrapNone/>
                <wp:docPr id="51" name="矩形标注 51"/>
                <wp:cNvGraphicFramePr/>
                <a:graphic xmlns:a="http://schemas.openxmlformats.org/drawingml/2006/main">
                  <a:graphicData uri="http://schemas.microsoft.com/office/word/2010/wordprocessingShape">
                    <wps:wsp>
                      <wps:cNvSpPr/>
                      <wps:spPr>
                        <a:xfrm>
                          <a:off x="0" y="0"/>
                          <a:ext cx="894080" cy="263525"/>
                        </a:xfrm>
                        <a:prstGeom prst="wedgeRectCallout">
                          <a:avLst>
                            <a:gd name="adj1" fmla="val 108097"/>
                            <a:gd name="adj2" fmla="val 385662"/>
                          </a:avLst>
                        </a:prstGeom>
                        <a:solidFill>
                          <a:srgbClr val="FFFFFF"/>
                        </a:solidFill>
                        <a:ln w="9525" cap="flat" cmpd="sng">
                          <a:solidFill>
                            <a:srgbClr val="000000"/>
                          </a:solidFill>
                          <a:prstDash val="solid"/>
                          <a:miter/>
                          <a:headEnd type="none" w="med" len="med"/>
                          <a:tailEnd type="none" w="med" len="med"/>
                        </a:ln>
                      </wps:spPr>
                      <wps:txbx>
                        <w:txbxContent>
                          <w:p w14:paraId="5EB951B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329.35pt;margin-top:369.85pt;height:20.75pt;width:70.4pt;z-index:251679744;mso-width-relative:page;mso-height-relative:page;" fillcolor="#FFFFFF" filled="t" stroked="t" coordsize="21600,21600" o:gfxdata="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LZVc/ZAAAACwEAAA8AAAAAAAAAAQAgAAAAIgAAAGRycy9kb3du&#10;cmV2LnhtbFBLAQIUABQAAAAIAIdO4kArmGM+NwIAAI8EAAAOAAAAAAAAAAEAIAAAACgBAABkcnMv&#10;ZTJvRG9jLnhtbFBLBQYAAAAABgAGAFkBAADRBQAAAAA=&#10;" adj="34149,94103">
                <v:fill on="t" focussize="0,0"/>
                <v:stroke color="#000000" joinstyle="miter"/>
                <v:imagedata o:title=""/>
                <o:lock v:ext="edit" aspectratio="f"/>
                <v:textbox>
                  <w:txbxContent>
                    <w:p w14:paraId="5EB951B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eastAsia="宋体" w:cs="Times New Roman"/>
          <w:color w:val="000000"/>
          <w:highlight w:val="none"/>
          <w:vertAlign w:val="baseline"/>
          <w:lang w:val="en-US" w:eastAsia="zh-CN"/>
        </w:rPr>
        <w:drawing>
          <wp:inline distT="0" distB="0" distL="114300" distR="114300">
            <wp:extent cx="6172200" cy="8507730"/>
            <wp:effectExtent l="0" t="0" r="0" b="7620"/>
            <wp:docPr id="52" name="图片 5" descr="6ddcc31d41cbd7c586a0e532909c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6ddcc31d41cbd7c586a0e532909c429"/>
                    <pic:cNvPicPr>
                      <a:picLocks noChangeAspect="1"/>
                    </pic:cNvPicPr>
                  </pic:nvPicPr>
                  <pic:blipFill>
                    <a:blip r:embed="rId32"/>
                    <a:stretch>
                      <a:fillRect/>
                    </a:stretch>
                  </pic:blipFill>
                  <pic:spPr>
                    <a:xfrm>
                      <a:off x="0" y="0"/>
                      <a:ext cx="6172200" cy="8507730"/>
                    </a:xfrm>
                    <a:prstGeom prst="rect">
                      <a:avLst/>
                    </a:prstGeom>
                    <a:noFill/>
                    <a:ln>
                      <a:noFill/>
                    </a:ln>
                  </pic:spPr>
                </pic:pic>
              </a:graphicData>
            </a:graphic>
          </wp:inline>
        </w:drawing>
      </w:r>
      <w:bookmarkEnd w:id="60"/>
      <w:bookmarkEnd w:id="61"/>
      <w:bookmarkEnd w:id="62"/>
      <w:bookmarkEnd w:id="63"/>
      <w:bookmarkEnd w:id="64"/>
      <w:bookmarkEnd w:id="65"/>
      <w:bookmarkEnd w:id="66"/>
      <w:bookmarkEnd w:id="67"/>
      <w:bookmarkEnd w:id="68"/>
    </w:p>
    <w:p w14:paraId="3CC6F81B">
      <w:pPr>
        <w:pStyle w:val="22"/>
        <w:adjustRightInd w:val="0"/>
        <w:snapToGrid w:val="0"/>
        <w:spacing w:before="0" w:beforeAutospacing="0" w:after="0" w:afterAutospacing="0"/>
        <w:outlineLvl w:val="0"/>
        <w:rPr>
          <w:rFonts w:hint="default" w:ascii="Times New Roman" w:hAnsi="Times New Roman" w:eastAsia="黑体" w:cs="Times New Roman"/>
          <w:snapToGrid w:val="0"/>
          <w:color w:val="auto"/>
          <w:sz w:val="21"/>
          <w:szCs w:val="21"/>
          <w:highlight w:val="none"/>
          <w:lang w:val="en-US" w:eastAsia="zh-CN"/>
        </w:rPr>
      </w:pPr>
      <w:bookmarkStart w:id="69" w:name="_Toc17555"/>
      <w:r>
        <w:rPr>
          <w:rFonts w:hint="eastAsia" w:ascii="Times New Roman" w:hAnsi="Times New Roman" w:eastAsia="黑体" w:cs="Times New Roman"/>
          <w:snapToGrid w:val="0"/>
          <w:color w:val="auto"/>
          <w:sz w:val="21"/>
          <w:szCs w:val="21"/>
          <w:highlight w:val="none"/>
          <w:lang w:val="en-US" w:eastAsia="zh-CN"/>
        </w:rPr>
        <w:t>附图12 饶河县大岱河干流功能区分区规划图</w:t>
      </w:r>
      <w:bookmarkEnd w:id="69"/>
    </w:p>
    <w:p w14:paraId="3142899A">
      <w:pPr>
        <w:pStyle w:val="22"/>
        <w:adjustRightInd w:val="0"/>
        <w:snapToGrid w:val="0"/>
        <w:spacing w:before="0" w:beforeAutospacing="0" w:after="0" w:afterAutospacing="0"/>
        <w:outlineLvl w:val="0"/>
        <w:rPr>
          <w:rFonts w:hint="default" w:ascii="Times New Roman" w:hAnsi="Times New Roman" w:eastAsia="宋体" w:cs="Times New Roman"/>
          <w:color w:val="000000"/>
          <w:highlight w:val="none"/>
          <w:vertAlign w:val="baseli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bookmarkStart w:id="70" w:name="_Toc22920"/>
      <w:bookmarkStart w:id="71" w:name="_Toc19300"/>
      <w:bookmarkStart w:id="72" w:name="_Toc7565"/>
      <w:bookmarkStart w:id="73" w:name="_Toc14339"/>
      <w:r>
        <w:rPr>
          <w:rFonts w:hint="default" w:ascii="Times New Roman" w:hAnsi="Times New Roman" w:cs="Times New Roman"/>
          <w:color w:val="000000"/>
          <w:sz w:val="21"/>
          <w:highlight w:val="none"/>
        </w:rPr>
        <mc:AlternateContent>
          <mc:Choice Requires="wps">
            <w:drawing>
              <wp:anchor distT="0" distB="0" distL="114300" distR="114300" simplePos="0" relativeHeight="251699200" behindDoc="0" locked="0" layoutInCell="1" allowOverlap="1">
                <wp:simplePos x="0" y="0"/>
                <wp:positionH relativeFrom="column">
                  <wp:posOffset>1443990</wp:posOffset>
                </wp:positionH>
                <wp:positionV relativeFrom="paragraph">
                  <wp:posOffset>490220</wp:posOffset>
                </wp:positionV>
                <wp:extent cx="894080" cy="263525"/>
                <wp:effectExtent l="4445" t="5080" r="92075" b="721995"/>
                <wp:wrapNone/>
                <wp:docPr id="90" name="矩形标注 90"/>
                <wp:cNvGraphicFramePr/>
                <a:graphic xmlns:a="http://schemas.openxmlformats.org/drawingml/2006/main">
                  <a:graphicData uri="http://schemas.microsoft.com/office/word/2010/wordprocessingShape">
                    <wps:wsp>
                      <wps:cNvSpPr/>
                      <wps:spPr>
                        <a:xfrm>
                          <a:off x="0" y="0"/>
                          <a:ext cx="894080" cy="263525"/>
                        </a:xfrm>
                        <a:prstGeom prst="wedgeRectCallout">
                          <a:avLst>
                            <a:gd name="adj1" fmla="val 57528"/>
                            <a:gd name="adj2" fmla="val 310481"/>
                          </a:avLst>
                        </a:prstGeom>
                        <a:solidFill>
                          <a:srgbClr val="FFFFFF"/>
                        </a:solidFill>
                        <a:ln w="9525" cap="flat" cmpd="sng">
                          <a:solidFill>
                            <a:srgbClr val="000000"/>
                          </a:solidFill>
                          <a:prstDash val="solid"/>
                          <a:miter/>
                          <a:headEnd type="none" w="med" len="med"/>
                          <a:tailEnd type="none" w="med" len="med"/>
                        </a:ln>
                      </wps:spPr>
                      <wps:txbx>
                        <w:txbxContent>
                          <w:p w14:paraId="54EA0CA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1" type="#_x0000_t61" style="position:absolute;left:0pt;margin-left:113.7pt;margin-top:38.6pt;height:20.75pt;width:70.4pt;z-index:251699200;mso-width-relative:page;mso-height-relative:page;" fillcolor="#FFFFFF" filled="t" stroked="t" coordsize="21600,21600" o:gfxdata="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xTZ8YdcAAAAKAQAADwAAAAAAAAABACAAAAAiAAAAZHJzL2Rvd25yZXYu&#10;eG1sUEsBAhQAFAAAAAgAh07iQOldTK01AgAAjgQAAA4AAAAAAAAAAQAgAAAAJgEAAGRycy9lMm9E&#10;b2MueG1sUEsFBgAAAAAGAAYAWQEAAM0FAAAAAA==&#10;" adj="23226,77864">
                <v:fill on="t" focussize="0,0"/>
                <v:stroke color="#000000" joinstyle="miter"/>
                <v:imagedata o:title=""/>
                <o:lock v:ext="edit" aspectratio="f"/>
                <v:textbox>
                  <w:txbxContent>
                    <w:p w14:paraId="54EA0CA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rPr>
                          <w:rFonts w:hint="eastAsia"/>
                          <w:lang w:val="en-US" w:eastAsia="zh-CN"/>
                        </w:rPr>
                        <w:t>本项目位置</w:t>
                      </w:r>
                    </w:p>
                  </w:txbxContent>
                </v:textbox>
              </v:shape>
            </w:pict>
          </mc:Fallback>
        </mc:AlternateContent>
      </w:r>
      <w:r>
        <w:rPr>
          <w:highlight w:val="none"/>
        </w:rPr>
        <w:drawing>
          <wp:inline distT="0" distB="0" distL="114300" distR="114300">
            <wp:extent cx="5725795" cy="3569970"/>
            <wp:effectExtent l="0" t="0" r="8255" b="1143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33"/>
                    <a:stretch>
                      <a:fillRect/>
                    </a:stretch>
                  </pic:blipFill>
                  <pic:spPr>
                    <a:xfrm>
                      <a:off x="0" y="0"/>
                      <a:ext cx="5725795" cy="3569970"/>
                    </a:xfrm>
                    <a:prstGeom prst="rect">
                      <a:avLst/>
                    </a:prstGeom>
                    <a:noFill/>
                    <a:ln>
                      <a:noFill/>
                    </a:ln>
                  </pic:spPr>
                </pic:pic>
              </a:graphicData>
            </a:graphic>
          </wp:inline>
        </w:drawing>
      </w:r>
      <w:bookmarkEnd w:id="70"/>
      <w:bookmarkEnd w:id="71"/>
      <w:bookmarkEnd w:id="72"/>
      <w:bookmarkEnd w:id="73"/>
    </w:p>
    <w:p w14:paraId="51F6CFCF">
      <w:pPr>
        <w:widowControl/>
        <w:adjustRightInd w:val="0"/>
        <w:snapToGrid w:val="0"/>
        <w:jc w:val="left"/>
        <w:outlineLvl w:val="0"/>
        <w:rPr>
          <w:rFonts w:eastAsia="黑体"/>
          <w:snapToGrid w:val="0"/>
          <w:color w:val="auto"/>
          <w:kern w:val="0"/>
          <w:sz w:val="32"/>
          <w:szCs w:val="32"/>
          <w:highlight w:val="none"/>
        </w:rPr>
      </w:pPr>
      <w:bookmarkStart w:id="74" w:name="_Toc30916"/>
      <w:r>
        <w:rPr>
          <w:rFonts w:hint="eastAsia" w:eastAsia="黑体"/>
          <w:snapToGrid w:val="0"/>
          <w:color w:val="auto"/>
          <w:kern w:val="0"/>
          <w:sz w:val="32"/>
          <w:szCs w:val="32"/>
          <w:highlight w:val="none"/>
        </w:rPr>
        <w:t>附件</w:t>
      </w:r>
      <w:bookmarkEnd w:id="74"/>
    </w:p>
    <w:p w14:paraId="6D07B694">
      <w:pPr>
        <w:pStyle w:val="22"/>
        <w:adjustRightInd w:val="0"/>
        <w:snapToGrid w:val="0"/>
        <w:spacing w:before="0" w:beforeAutospacing="0" w:after="0" w:afterAutospacing="0"/>
        <w:outlineLvl w:val="0"/>
        <w:rPr>
          <w:rFonts w:ascii="Times New Roman" w:hAnsi="Times New Roman" w:eastAsia="黑体"/>
          <w:snapToGrid w:val="0"/>
          <w:color w:val="auto"/>
          <w:sz w:val="21"/>
          <w:szCs w:val="21"/>
          <w:highlight w:val="none"/>
        </w:rPr>
      </w:pPr>
      <w:bookmarkStart w:id="75" w:name="_Toc30814"/>
      <w:r>
        <w:rPr>
          <w:rFonts w:hint="eastAsia" w:ascii="Times New Roman" w:hAnsi="Times New Roman" w:eastAsia="黑体"/>
          <w:snapToGrid w:val="0"/>
          <w:color w:val="auto"/>
          <w:sz w:val="21"/>
          <w:szCs w:val="21"/>
          <w:highlight w:val="none"/>
        </w:rPr>
        <w:t>附件</w:t>
      </w:r>
      <w:r>
        <w:rPr>
          <w:rFonts w:ascii="Times New Roman" w:hAnsi="Times New Roman" w:eastAsia="黑体"/>
          <w:snapToGrid w:val="0"/>
          <w:color w:val="auto"/>
          <w:sz w:val="21"/>
          <w:szCs w:val="21"/>
          <w:highlight w:val="none"/>
        </w:rPr>
        <w:t xml:space="preserve">1 </w:t>
      </w:r>
      <w:r>
        <w:rPr>
          <w:rFonts w:hint="eastAsia" w:ascii="Times New Roman" w:hAnsi="Times New Roman" w:eastAsia="黑体"/>
          <w:snapToGrid w:val="0"/>
          <w:color w:val="auto"/>
          <w:sz w:val="21"/>
          <w:szCs w:val="21"/>
          <w:highlight w:val="none"/>
        </w:rPr>
        <w:t>生态环境分区管控分析报告</w:t>
      </w:r>
      <w:bookmarkEnd w:id="75"/>
    </w:p>
    <w:p w14:paraId="2F559AF4">
      <w:pPr>
        <w:rPr>
          <w:rFonts w:hint="eastAsia" w:eastAsia="宋体"/>
          <w:color w:val="FF0000"/>
          <w:highlight w:val="none"/>
          <w:lang w:eastAsia="zh-CN"/>
        </w:rPr>
      </w:pPr>
      <w:r>
        <w:rPr>
          <w:rFonts w:hint="eastAsia" w:eastAsia="宋体"/>
          <w:color w:val="FF0000"/>
          <w:highlight w:val="none"/>
          <w:lang w:eastAsia="zh-CN"/>
        </w:rPr>
        <w:drawing>
          <wp:inline distT="0" distB="0" distL="114300" distR="114300">
            <wp:extent cx="5721350" cy="4045585"/>
            <wp:effectExtent l="0" t="0" r="12700" b="12065"/>
            <wp:docPr id="7" name="图片 7" descr="环保局--黑龙江省饶河县大带河治理工程（补充）（EPC）_2025年05月19日142045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环保局--黑龙江省饶河县大带河治理工程（补充）（EPC）_2025年05月19日142045_分析报告_00"/>
                    <pic:cNvPicPr>
                      <a:picLocks noChangeAspect="1"/>
                    </pic:cNvPicPr>
                  </pic:nvPicPr>
                  <pic:blipFill>
                    <a:blip r:embed="rId34"/>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10" name="图片 10" descr="环保局--黑龙江省饶河县大带河治理工程（补充）（EPC）_2025年05月19日142045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环保局--黑龙江省饶河县大带河治理工程（补充）（EPC）_2025年05月19日142045_分析报告_01"/>
                    <pic:cNvPicPr>
                      <a:picLocks noChangeAspect="1"/>
                    </pic:cNvPicPr>
                  </pic:nvPicPr>
                  <pic:blipFill>
                    <a:blip r:embed="rId35"/>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14" name="图片 14" descr="环保局--黑龙江省饶河县大带河治理工程（补充）（EPC）_2025年05月19日142045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环保局--黑龙江省饶河县大带河治理工程（补充）（EPC）_2025年05月19日142045_分析报告_02"/>
                    <pic:cNvPicPr>
                      <a:picLocks noChangeAspect="1"/>
                    </pic:cNvPicPr>
                  </pic:nvPicPr>
                  <pic:blipFill>
                    <a:blip r:embed="rId36"/>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15" name="图片 15" descr="环保局--黑龙江省饶河县大带河治理工程（补充）（EPC）_2025年05月19日142045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环保局--黑龙江省饶河县大带河治理工程（补充）（EPC）_2025年05月19日142045_分析报告_03"/>
                    <pic:cNvPicPr>
                      <a:picLocks noChangeAspect="1"/>
                    </pic:cNvPicPr>
                  </pic:nvPicPr>
                  <pic:blipFill>
                    <a:blip r:embed="rId37"/>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16" name="图片 16" descr="环保局--黑龙江省饶河县大带河治理工程（补充）（EPC）_2025年05月19日142045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环保局--黑龙江省饶河县大带河治理工程（补充）（EPC）_2025年05月19日142045_分析报告_04"/>
                    <pic:cNvPicPr>
                      <a:picLocks noChangeAspect="1"/>
                    </pic:cNvPicPr>
                  </pic:nvPicPr>
                  <pic:blipFill>
                    <a:blip r:embed="rId38"/>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19" name="图片 19" descr="环保局--黑龙江省饶河县大带河治理工程（补充）（EPC）_2025年05月19日142045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环保局--黑龙江省饶河县大带河治理工程（补充）（EPC）_2025年05月19日142045_分析报告_05"/>
                    <pic:cNvPicPr>
                      <a:picLocks noChangeAspect="1"/>
                    </pic:cNvPicPr>
                  </pic:nvPicPr>
                  <pic:blipFill>
                    <a:blip r:embed="rId39"/>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20" name="图片 20" descr="环保局--黑龙江省饶河县大带河治理工程（补充）（EPC）_2025年05月19日142045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环保局--黑龙江省饶河县大带河治理工程（补充）（EPC）_2025年05月19日142045_分析报告_06"/>
                    <pic:cNvPicPr>
                      <a:picLocks noChangeAspect="1"/>
                    </pic:cNvPicPr>
                  </pic:nvPicPr>
                  <pic:blipFill>
                    <a:blip r:embed="rId40"/>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22" name="图片 22" descr="环保局--黑龙江省饶河县大带河治理工程（补充）（EPC）_2025年05月19日142045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环保局--黑龙江省饶河县大带河治理工程（补充）（EPC）_2025年05月19日142045_分析报告_07"/>
                    <pic:cNvPicPr>
                      <a:picLocks noChangeAspect="1"/>
                    </pic:cNvPicPr>
                  </pic:nvPicPr>
                  <pic:blipFill>
                    <a:blip r:embed="rId41"/>
                    <a:stretch>
                      <a:fillRect/>
                    </a:stretch>
                  </pic:blipFill>
                  <pic:spPr>
                    <a:xfrm>
                      <a:off x="0" y="0"/>
                      <a:ext cx="5721350" cy="4045585"/>
                    </a:xfrm>
                    <a:prstGeom prst="rect">
                      <a:avLst/>
                    </a:prstGeom>
                  </pic:spPr>
                </pic:pic>
              </a:graphicData>
            </a:graphic>
          </wp:inline>
        </w:drawing>
      </w:r>
      <w:r>
        <w:rPr>
          <w:rFonts w:hint="eastAsia" w:eastAsia="宋体"/>
          <w:color w:val="FF0000"/>
          <w:highlight w:val="none"/>
          <w:lang w:eastAsia="zh-CN"/>
        </w:rPr>
        <w:drawing>
          <wp:inline distT="0" distB="0" distL="114300" distR="114300">
            <wp:extent cx="5721350" cy="4045585"/>
            <wp:effectExtent l="0" t="0" r="12700" b="12065"/>
            <wp:docPr id="23" name="图片 23" descr="环保局--黑龙江省饶河县大带河治理工程（补充）（EPC）_2025年05月19日142045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环保局--黑龙江省饶河县大带河治理工程（补充）（EPC）_2025年05月19日142045_分析报告_08"/>
                    <pic:cNvPicPr>
                      <a:picLocks noChangeAspect="1"/>
                    </pic:cNvPicPr>
                  </pic:nvPicPr>
                  <pic:blipFill>
                    <a:blip r:embed="rId42"/>
                    <a:stretch>
                      <a:fillRect/>
                    </a:stretch>
                  </pic:blipFill>
                  <pic:spPr>
                    <a:xfrm>
                      <a:off x="0" y="0"/>
                      <a:ext cx="5721350" cy="4045585"/>
                    </a:xfrm>
                    <a:prstGeom prst="rect">
                      <a:avLst/>
                    </a:prstGeom>
                  </pic:spPr>
                </pic:pic>
              </a:graphicData>
            </a:graphic>
          </wp:inline>
        </w:drawing>
      </w:r>
    </w:p>
    <w:p w14:paraId="72CE202C">
      <w:pPr>
        <w:rPr>
          <w:rFonts w:hint="eastAsia"/>
          <w:highlight w:val="none"/>
          <w:lang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eastAsia"/>
          <w:highlight w:val="none"/>
          <w:lang w:eastAsia="zh-CN"/>
        </w:rPr>
        <w:drawing>
          <wp:inline distT="0" distB="0" distL="114300" distR="114300">
            <wp:extent cx="5721350" cy="4045585"/>
            <wp:effectExtent l="0" t="0" r="12700" b="12065"/>
            <wp:docPr id="25" name="图片 25" descr="环保局--黑龙江省饶河县大带河治理工程（补充）（EPC）_2025年05月19日142045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环保局--黑龙江省饶河县大带河治理工程（补充）（EPC）_2025年05月19日142045_分析报告_09"/>
                    <pic:cNvPicPr>
                      <a:picLocks noChangeAspect="1"/>
                    </pic:cNvPicPr>
                  </pic:nvPicPr>
                  <pic:blipFill>
                    <a:blip r:embed="rId43"/>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26" name="图片 26" descr="环保局--黑龙江省饶河县大带河治理工程（补充）（EPC）_2025年05月19日142045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环保局--黑龙江省饶河县大带河治理工程（补充）（EPC）_2025年05月19日142045_分析报告_10"/>
                    <pic:cNvPicPr>
                      <a:picLocks noChangeAspect="1"/>
                    </pic:cNvPicPr>
                  </pic:nvPicPr>
                  <pic:blipFill>
                    <a:blip r:embed="rId44"/>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27" name="图片 27" descr="环保局--黑龙江省饶河县大带河治理工程（补充）（EPC）_2025年05月19日142045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环保局--黑龙江省饶河县大带河治理工程（补充）（EPC）_2025年05月19日142045_分析报告_11"/>
                    <pic:cNvPicPr>
                      <a:picLocks noChangeAspect="1"/>
                    </pic:cNvPicPr>
                  </pic:nvPicPr>
                  <pic:blipFill>
                    <a:blip r:embed="rId45"/>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28" name="图片 28" descr="环保局--黑龙江省饶河县大带河治理工程（补充）（EPC）_2025年05月19日142045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环保局--黑龙江省饶河县大带河治理工程（补充）（EPC）_2025年05月19日142045_分析报告_12"/>
                    <pic:cNvPicPr>
                      <a:picLocks noChangeAspect="1"/>
                    </pic:cNvPicPr>
                  </pic:nvPicPr>
                  <pic:blipFill>
                    <a:blip r:embed="rId46"/>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29" name="图片 29" descr="环保局--黑龙江省饶河县大带河治理工程（补充）（EPC）_2025年05月19日142045_分析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环保局--黑龙江省饶河县大带河治理工程（补充）（EPC）_2025年05月19日142045_分析报告_13"/>
                    <pic:cNvPicPr>
                      <a:picLocks noChangeAspect="1"/>
                    </pic:cNvPicPr>
                  </pic:nvPicPr>
                  <pic:blipFill>
                    <a:blip r:embed="rId47"/>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32" name="图片 32" descr="环保局--黑龙江省饶河县大带河治理工程（补充）（EPC）_2025年05月19日142045_分析报告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环保局--黑龙江省饶河县大带河治理工程（补充）（EPC）_2025年05月19日142045_分析报告_14"/>
                    <pic:cNvPicPr>
                      <a:picLocks noChangeAspect="1"/>
                    </pic:cNvPicPr>
                  </pic:nvPicPr>
                  <pic:blipFill>
                    <a:blip r:embed="rId48"/>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53" name="图片 53" descr="环保局--黑龙江省饶河县大带河治理工程（补充）（EPC）_2025年05月19日142045_分析报告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环保局--黑龙江省饶河县大带河治理工程（补充）（EPC）_2025年05月19日142045_分析报告_15"/>
                    <pic:cNvPicPr>
                      <a:picLocks noChangeAspect="1"/>
                    </pic:cNvPicPr>
                  </pic:nvPicPr>
                  <pic:blipFill>
                    <a:blip r:embed="rId49"/>
                    <a:stretch>
                      <a:fillRect/>
                    </a:stretch>
                  </pic:blipFill>
                  <pic:spPr>
                    <a:xfrm>
                      <a:off x="0" y="0"/>
                      <a:ext cx="5721350" cy="4045585"/>
                    </a:xfrm>
                    <a:prstGeom prst="rect">
                      <a:avLst/>
                    </a:prstGeom>
                  </pic:spPr>
                </pic:pic>
              </a:graphicData>
            </a:graphic>
          </wp:inline>
        </w:drawing>
      </w:r>
      <w:r>
        <w:rPr>
          <w:rFonts w:hint="eastAsia"/>
          <w:highlight w:val="none"/>
          <w:lang w:eastAsia="zh-CN"/>
        </w:rPr>
        <w:drawing>
          <wp:inline distT="0" distB="0" distL="114300" distR="114300">
            <wp:extent cx="5721350" cy="4045585"/>
            <wp:effectExtent l="0" t="0" r="12700" b="12065"/>
            <wp:docPr id="54" name="图片 54" descr="环保局--黑龙江省饶河县大带河治理工程（补充）（EPC）_2025年05月19日142045_分析报告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环保局--黑龙江省饶河县大带河治理工程（补充）（EPC）_2025年05月19日142045_分析报告_16"/>
                    <pic:cNvPicPr>
                      <a:picLocks noChangeAspect="1"/>
                    </pic:cNvPicPr>
                  </pic:nvPicPr>
                  <pic:blipFill>
                    <a:blip r:embed="rId50"/>
                    <a:stretch>
                      <a:fillRect/>
                    </a:stretch>
                  </pic:blipFill>
                  <pic:spPr>
                    <a:xfrm>
                      <a:off x="0" y="0"/>
                      <a:ext cx="5721350" cy="4045585"/>
                    </a:xfrm>
                    <a:prstGeom prst="rect">
                      <a:avLst/>
                    </a:prstGeom>
                  </pic:spPr>
                </pic:pic>
              </a:graphicData>
            </a:graphic>
          </wp:inline>
        </w:drawing>
      </w:r>
    </w:p>
    <w:p w14:paraId="1A301039">
      <w:pPr>
        <w:pStyle w:val="22"/>
        <w:adjustRightInd w:val="0"/>
        <w:snapToGrid w:val="0"/>
        <w:spacing w:before="0" w:beforeAutospacing="0" w:after="0" w:afterAutospacing="0"/>
        <w:outlineLvl w:val="0"/>
        <w:rPr>
          <w:rFonts w:hint="default" w:ascii="Times New Roman" w:hAnsi="Times New Roman" w:eastAsia="黑体"/>
          <w:snapToGrid w:val="0"/>
          <w:color w:val="auto"/>
          <w:sz w:val="21"/>
          <w:szCs w:val="21"/>
          <w:highlight w:val="none"/>
          <w:lang w:val="en-US" w:eastAsia="zh-CN"/>
        </w:rPr>
      </w:pPr>
      <w:bookmarkStart w:id="76" w:name="_Toc15055"/>
      <w:r>
        <w:rPr>
          <w:rFonts w:hint="eastAsia" w:ascii="Times New Roman" w:hAnsi="Times New Roman" w:eastAsia="黑体"/>
          <w:snapToGrid w:val="0"/>
          <w:color w:val="auto"/>
          <w:sz w:val="21"/>
          <w:szCs w:val="21"/>
          <w:highlight w:val="none"/>
        </w:rPr>
        <w:t>附件2</w:t>
      </w:r>
      <w:r>
        <w:rPr>
          <w:rFonts w:hint="eastAsia" w:ascii="Times New Roman" w:hAnsi="Times New Roman" w:eastAsia="黑体"/>
          <w:snapToGrid w:val="0"/>
          <w:color w:val="auto"/>
          <w:sz w:val="21"/>
          <w:szCs w:val="21"/>
          <w:highlight w:val="none"/>
          <w:lang w:val="en-US" w:eastAsia="zh-CN"/>
        </w:rPr>
        <w:t xml:space="preserve"> 事业单位法人证书</w:t>
      </w:r>
      <w:bookmarkEnd w:id="76"/>
    </w:p>
    <w:p w14:paraId="6FCD9F4B">
      <w:pPr>
        <w:jc w:val="center"/>
        <w:rPr>
          <w:rFonts w:hint="eastAsia" w:eastAsia="宋体"/>
          <w:color w:val="FF0000"/>
          <w:highlight w:val="none"/>
          <w:lang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eastAsia" w:eastAsia="宋体"/>
          <w:color w:val="FF0000"/>
          <w:highlight w:val="none"/>
          <w:lang w:eastAsia="zh-CN"/>
        </w:rPr>
        <w:drawing>
          <wp:inline distT="0" distB="0" distL="114300" distR="114300">
            <wp:extent cx="5720080" cy="4288155"/>
            <wp:effectExtent l="0" t="0" r="13970" b="17145"/>
            <wp:docPr id="91" name="图片 91" descr="事业单位法人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事业单位法人证书"/>
                    <pic:cNvPicPr>
                      <a:picLocks noChangeAspect="1"/>
                    </pic:cNvPicPr>
                  </pic:nvPicPr>
                  <pic:blipFill>
                    <a:blip r:embed="rId51"/>
                    <a:stretch>
                      <a:fillRect/>
                    </a:stretch>
                  </pic:blipFill>
                  <pic:spPr>
                    <a:xfrm>
                      <a:off x="0" y="0"/>
                      <a:ext cx="5720080" cy="4288155"/>
                    </a:xfrm>
                    <a:prstGeom prst="rect">
                      <a:avLst/>
                    </a:prstGeom>
                  </pic:spPr>
                </pic:pic>
              </a:graphicData>
            </a:graphic>
          </wp:inline>
        </w:drawing>
      </w:r>
    </w:p>
    <w:p w14:paraId="2DC9EEDC">
      <w:pPr>
        <w:pStyle w:val="22"/>
        <w:adjustRightInd w:val="0"/>
        <w:snapToGrid w:val="0"/>
        <w:spacing w:before="0" w:beforeAutospacing="0" w:after="0" w:afterAutospacing="0"/>
        <w:outlineLvl w:val="0"/>
        <w:rPr>
          <w:rFonts w:hint="eastAsia" w:ascii="Times New Roman" w:hAnsi="Times New Roman" w:eastAsia="黑体"/>
          <w:snapToGrid w:val="0"/>
          <w:color w:val="auto"/>
          <w:sz w:val="21"/>
          <w:szCs w:val="21"/>
          <w:highlight w:val="none"/>
          <w:lang w:val="en-US" w:eastAsia="zh-CN"/>
        </w:rPr>
      </w:pPr>
      <w:bookmarkStart w:id="77" w:name="_Toc26225"/>
      <w:r>
        <w:rPr>
          <w:rFonts w:hint="eastAsia" w:ascii="Times New Roman" w:hAnsi="Times New Roman" w:eastAsia="黑体"/>
          <w:snapToGrid w:val="0"/>
          <w:color w:val="auto"/>
          <w:sz w:val="21"/>
          <w:szCs w:val="21"/>
          <w:highlight w:val="none"/>
        </w:rPr>
        <w:t>附件</w:t>
      </w:r>
      <w:r>
        <w:rPr>
          <w:rFonts w:hint="eastAsia" w:ascii="Times New Roman" w:hAnsi="Times New Roman" w:eastAsia="黑体"/>
          <w:snapToGrid w:val="0"/>
          <w:color w:val="auto"/>
          <w:sz w:val="21"/>
          <w:szCs w:val="21"/>
          <w:highlight w:val="none"/>
          <w:lang w:val="en-US" w:eastAsia="zh-CN"/>
        </w:rPr>
        <w:t>3 饶河县水务局关于黑龙江省饶河县大带河治理工程(补充)(EPC)实施方案报告的批复</w:t>
      </w:r>
      <w:bookmarkEnd w:id="77"/>
    </w:p>
    <w:p w14:paraId="78AB5A6F">
      <w:pPr>
        <w:bidi w:val="0"/>
        <w:rPr>
          <w:rFonts w:hint="eastAsia"/>
          <w:highlight w:val="none"/>
          <w:lang w:val="en-US" w:eastAsia="zh-CN"/>
        </w:rPr>
      </w:pPr>
      <w:r>
        <w:rPr>
          <w:rFonts w:hint="eastAsia"/>
          <w:highlight w:val="none"/>
          <w:lang w:eastAsia="zh-CN"/>
        </w:rPr>
        <w:drawing>
          <wp:inline distT="0" distB="0" distL="114300" distR="114300">
            <wp:extent cx="5795645" cy="8201025"/>
            <wp:effectExtent l="0" t="0" r="14605" b="9525"/>
            <wp:docPr id="24" name="图片 24" descr="饶河县大带河治理工程（补充）（EPC）实施方案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饶河县大带河治理工程（补充）（EPC）实施方案批复_00"/>
                    <pic:cNvPicPr>
                      <a:picLocks noChangeAspect="1"/>
                    </pic:cNvPicPr>
                  </pic:nvPicPr>
                  <pic:blipFill>
                    <a:blip r:embed="rId52"/>
                    <a:stretch>
                      <a:fillRect/>
                    </a:stretch>
                  </pic:blipFill>
                  <pic:spPr>
                    <a:xfrm>
                      <a:off x="0" y="0"/>
                      <a:ext cx="5795645" cy="8201025"/>
                    </a:xfrm>
                    <a:prstGeom prst="rect">
                      <a:avLst/>
                    </a:prstGeom>
                  </pic:spPr>
                </pic:pic>
              </a:graphicData>
            </a:graphic>
          </wp:inline>
        </w:drawing>
      </w:r>
    </w:p>
    <w:p w14:paraId="7913FE5A">
      <w:pPr>
        <w:pStyle w:val="9"/>
        <w:rPr>
          <w:rFonts w:hint="eastAsia"/>
          <w:highlight w:val="none"/>
          <w:lang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eastAsia"/>
          <w:highlight w:val="none"/>
          <w:lang w:eastAsia="zh-CN"/>
        </w:rPr>
        <w:drawing>
          <wp:inline distT="0" distB="0" distL="114300" distR="114300">
            <wp:extent cx="5728970" cy="8105775"/>
            <wp:effectExtent l="0" t="0" r="5080" b="9525"/>
            <wp:docPr id="35" name="图片 35" descr="饶河县大带河治理工程（补充）（EPC）实施方案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饶河县大带河治理工程（补充）（EPC）实施方案批复_01"/>
                    <pic:cNvPicPr>
                      <a:picLocks noChangeAspect="1"/>
                    </pic:cNvPicPr>
                  </pic:nvPicPr>
                  <pic:blipFill>
                    <a:blip r:embed="rId53"/>
                    <a:stretch>
                      <a:fillRect/>
                    </a:stretch>
                  </pic:blipFill>
                  <pic:spPr>
                    <a:xfrm>
                      <a:off x="0" y="0"/>
                      <a:ext cx="5728970" cy="8105775"/>
                    </a:xfrm>
                    <a:prstGeom prst="rect">
                      <a:avLst/>
                    </a:prstGeom>
                  </pic:spPr>
                </pic:pic>
              </a:graphicData>
            </a:graphic>
          </wp:inline>
        </w:drawing>
      </w:r>
      <w:r>
        <w:rPr>
          <w:rFonts w:hint="eastAsia"/>
          <w:highlight w:val="none"/>
          <w:lang w:eastAsia="zh-CN"/>
        </w:rPr>
        <w:drawing>
          <wp:inline distT="0" distB="0" distL="114300" distR="114300">
            <wp:extent cx="5728970" cy="8105775"/>
            <wp:effectExtent l="0" t="0" r="5080" b="9525"/>
            <wp:docPr id="48" name="图片 48" descr="饶河县大带河治理工程（补充）（EPC）实施方案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饶河县大带河治理工程（补充）（EPC）实施方案批复_02"/>
                    <pic:cNvPicPr>
                      <a:picLocks noChangeAspect="1"/>
                    </pic:cNvPicPr>
                  </pic:nvPicPr>
                  <pic:blipFill>
                    <a:blip r:embed="rId54"/>
                    <a:stretch>
                      <a:fillRect/>
                    </a:stretch>
                  </pic:blipFill>
                  <pic:spPr>
                    <a:xfrm>
                      <a:off x="0" y="0"/>
                      <a:ext cx="5728970" cy="8105775"/>
                    </a:xfrm>
                    <a:prstGeom prst="rect">
                      <a:avLst/>
                    </a:prstGeom>
                  </pic:spPr>
                </pic:pic>
              </a:graphicData>
            </a:graphic>
          </wp:inline>
        </w:drawing>
      </w:r>
    </w:p>
    <w:p w14:paraId="5933322C">
      <w:pPr>
        <w:pStyle w:val="22"/>
        <w:adjustRightInd w:val="0"/>
        <w:snapToGrid w:val="0"/>
        <w:spacing w:before="0" w:beforeAutospacing="0" w:after="0" w:afterAutospacing="0"/>
        <w:outlineLvl w:val="0"/>
        <w:rPr>
          <w:rFonts w:hint="eastAsia" w:ascii="Times New Roman" w:hAnsi="Times New Roman" w:eastAsia="黑体"/>
          <w:snapToGrid w:val="0"/>
          <w:color w:val="auto"/>
          <w:sz w:val="21"/>
          <w:szCs w:val="21"/>
          <w:highlight w:val="none"/>
          <w:lang w:val="en-US" w:eastAsia="zh-CN"/>
        </w:rPr>
      </w:pPr>
      <w:bookmarkStart w:id="78" w:name="_Toc9881"/>
      <w:r>
        <w:rPr>
          <w:rFonts w:hint="eastAsia" w:ascii="Times New Roman" w:hAnsi="Times New Roman" w:eastAsia="黑体"/>
          <w:snapToGrid w:val="0"/>
          <w:color w:val="auto"/>
          <w:sz w:val="21"/>
          <w:szCs w:val="21"/>
          <w:highlight w:val="none"/>
        </w:rPr>
        <w:t>附件</w:t>
      </w:r>
      <w:r>
        <w:rPr>
          <w:rFonts w:hint="eastAsia" w:ascii="Times New Roman" w:hAnsi="Times New Roman" w:eastAsia="黑体"/>
          <w:snapToGrid w:val="0"/>
          <w:color w:val="auto"/>
          <w:sz w:val="21"/>
          <w:szCs w:val="21"/>
          <w:highlight w:val="none"/>
          <w:lang w:val="en-US" w:eastAsia="zh-CN"/>
        </w:rPr>
        <w:t>4 保护区文件</w:t>
      </w:r>
      <w:bookmarkEnd w:id="78"/>
    </w:p>
    <w:p w14:paraId="2A3BCE76">
      <w:pPr>
        <w:bidi w:val="0"/>
        <w:rPr>
          <w:rFonts w:hint="default"/>
          <w:highlight w:val="none"/>
          <w:lang w:val="en-US" w:eastAsia="zh-CN"/>
        </w:rPr>
      </w:pPr>
      <w:r>
        <w:rPr>
          <w:rFonts w:hint="default"/>
          <w:highlight w:val="none"/>
          <w:lang w:val="en-US" w:eastAsia="zh-CN"/>
        </w:rPr>
        <w:drawing>
          <wp:inline distT="0" distB="0" distL="114300" distR="114300">
            <wp:extent cx="5728970" cy="8105775"/>
            <wp:effectExtent l="0" t="0" r="5080" b="9525"/>
            <wp:docPr id="13" name="图片 13" descr="（东北黑蜂）大带河补充的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东北黑蜂）大带河补充的函_00"/>
                    <pic:cNvPicPr>
                      <a:picLocks noChangeAspect="1"/>
                    </pic:cNvPicPr>
                  </pic:nvPicPr>
                  <pic:blipFill>
                    <a:blip r:embed="rId55"/>
                    <a:stretch>
                      <a:fillRect/>
                    </a:stretch>
                  </pic:blipFill>
                  <pic:spPr>
                    <a:xfrm>
                      <a:off x="0" y="0"/>
                      <a:ext cx="5728970" cy="8105775"/>
                    </a:xfrm>
                    <a:prstGeom prst="rect">
                      <a:avLst/>
                    </a:prstGeom>
                  </pic:spPr>
                </pic:pic>
              </a:graphicData>
            </a:graphic>
          </wp:inline>
        </w:drawing>
      </w:r>
    </w:p>
    <w:p w14:paraId="694EBFD1">
      <w:pPr>
        <w:pStyle w:val="9"/>
        <w:rPr>
          <w:rFonts w:hint="default"/>
          <w:highlight w:val="none"/>
          <w:lang w:val="en-US" w:eastAsia="zh-CN"/>
        </w:rPr>
      </w:pPr>
      <w:r>
        <w:rPr>
          <w:rFonts w:hint="default"/>
          <w:highlight w:val="none"/>
          <w:lang w:val="en-US" w:eastAsia="zh-CN"/>
        </w:rPr>
        <w:drawing>
          <wp:inline distT="0" distB="0" distL="114300" distR="114300">
            <wp:extent cx="5728970" cy="8105775"/>
            <wp:effectExtent l="0" t="0" r="5080" b="9525"/>
            <wp:docPr id="6" name="图片 6" descr="（大佳河自然保护区）大带河补充的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大佳河自然保护区）大带河补充的函_00"/>
                    <pic:cNvPicPr>
                      <a:picLocks noChangeAspect="1"/>
                    </pic:cNvPicPr>
                  </pic:nvPicPr>
                  <pic:blipFill>
                    <a:blip r:embed="rId56"/>
                    <a:stretch>
                      <a:fillRect/>
                    </a:stretch>
                  </pic:blipFill>
                  <pic:spPr>
                    <a:xfrm>
                      <a:off x="0" y="0"/>
                      <a:ext cx="5728970" cy="8105775"/>
                    </a:xfrm>
                    <a:prstGeom prst="rect">
                      <a:avLst/>
                    </a:prstGeom>
                  </pic:spPr>
                </pic:pic>
              </a:graphicData>
            </a:graphic>
          </wp:inline>
        </w:drawing>
      </w:r>
    </w:p>
    <w:p w14:paraId="7FC03833">
      <w:pPr>
        <w:rPr>
          <w:rFonts w:hint="default"/>
          <w:highlight w:val="none"/>
          <w:lang w:val="en-US" w:eastAsia="zh-CN"/>
        </w:rPr>
      </w:pPr>
      <w:r>
        <w:rPr>
          <w:rFonts w:hint="default"/>
          <w:highlight w:val="none"/>
          <w:lang w:val="en-US" w:eastAsia="zh-CN"/>
        </w:rPr>
        <w:br w:type="page"/>
      </w:r>
    </w:p>
    <w:p w14:paraId="0BE2E953">
      <w:pPr>
        <w:pStyle w:val="22"/>
        <w:adjustRightInd w:val="0"/>
        <w:snapToGrid w:val="0"/>
        <w:spacing w:before="0" w:beforeAutospacing="0" w:after="0" w:afterAutospacing="0"/>
        <w:outlineLvl w:val="0"/>
        <w:rPr>
          <w:rFonts w:hint="default" w:ascii="Times New Roman" w:hAnsi="Times New Roman" w:eastAsia="黑体"/>
          <w:snapToGrid w:val="0"/>
          <w:color w:val="auto"/>
          <w:sz w:val="21"/>
          <w:szCs w:val="21"/>
          <w:highlight w:val="none"/>
          <w:lang w:val="en-US" w:eastAsia="zh-CN"/>
        </w:rPr>
      </w:pPr>
      <w:bookmarkStart w:id="79" w:name="_Toc2346"/>
      <w:r>
        <w:rPr>
          <w:rFonts w:hint="eastAsia" w:ascii="Times New Roman" w:hAnsi="Times New Roman" w:eastAsia="黑体"/>
          <w:snapToGrid w:val="0"/>
          <w:color w:val="auto"/>
          <w:sz w:val="21"/>
          <w:szCs w:val="21"/>
          <w:highlight w:val="none"/>
          <w:lang w:val="en-US" w:eastAsia="zh-CN"/>
        </w:rPr>
        <w:t>附件5 关于部分事业单位机构编制调整的通知</w:t>
      </w:r>
      <w:bookmarkEnd w:id="79"/>
    </w:p>
    <w:p w14:paraId="7233AEE6">
      <w:pPr>
        <w:rPr>
          <w:rFonts w:hint="default"/>
          <w:highlight w:val="none"/>
          <w:lang w:val="en-US" w:eastAsia="zh-CN"/>
        </w:rPr>
      </w:pPr>
      <w:r>
        <w:rPr>
          <w:highlight w:val="none"/>
        </w:rPr>
        <w:drawing>
          <wp:inline distT="0" distB="0" distL="114300" distR="114300">
            <wp:extent cx="6038215" cy="7508240"/>
            <wp:effectExtent l="0" t="0" r="635" b="1651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57"/>
                    <a:srcRect b="6785"/>
                    <a:stretch>
                      <a:fillRect/>
                    </a:stretch>
                  </pic:blipFill>
                  <pic:spPr>
                    <a:xfrm>
                      <a:off x="0" y="0"/>
                      <a:ext cx="6038215" cy="7508240"/>
                    </a:xfrm>
                    <a:prstGeom prst="rect">
                      <a:avLst/>
                    </a:prstGeom>
                    <a:noFill/>
                    <a:ln>
                      <a:noFill/>
                    </a:ln>
                  </pic:spPr>
                </pic:pic>
              </a:graphicData>
            </a:graphic>
          </wp:inline>
        </w:drawing>
      </w:r>
    </w:p>
    <w:p w14:paraId="3BD49F6D">
      <w:pPr>
        <w:pStyle w:val="9"/>
        <w:jc w:val="center"/>
        <w:rPr>
          <w:rFonts w:hint="eastAsia" w:eastAsia="宋体"/>
          <w:highlight w:val="none"/>
          <w:lang w:val="en-US" w:eastAsia="zh-CN"/>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eastAsia" w:eastAsia="宋体"/>
          <w:highlight w:val="none"/>
          <w:lang w:val="en-US" w:eastAsia="zh-CN"/>
        </w:rPr>
        <w:drawing>
          <wp:inline distT="0" distB="0" distL="114300" distR="114300">
            <wp:extent cx="5578475" cy="7637145"/>
            <wp:effectExtent l="0" t="0" r="0" b="0"/>
            <wp:docPr id="74" name="图片 74" descr="b6715debf256ab9c3da18f15f19b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b6715debf256ab9c3da18f15f19b50a"/>
                    <pic:cNvPicPr>
                      <a:picLocks noChangeAspect="1"/>
                    </pic:cNvPicPr>
                  </pic:nvPicPr>
                  <pic:blipFill>
                    <a:blip r:embed="rId58"/>
                    <a:srcRect l="2573"/>
                    <a:stretch>
                      <a:fillRect/>
                    </a:stretch>
                  </pic:blipFill>
                  <pic:spPr>
                    <a:xfrm>
                      <a:off x="0" y="0"/>
                      <a:ext cx="5578475" cy="7637145"/>
                    </a:xfrm>
                    <a:prstGeom prst="rect">
                      <a:avLst/>
                    </a:prstGeom>
                  </pic:spPr>
                </pic:pic>
              </a:graphicData>
            </a:graphic>
          </wp:inline>
        </w:drawing>
      </w:r>
      <w:r>
        <w:rPr>
          <w:rFonts w:hint="eastAsia" w:eastAsia="宋体"/>
          <w:highlight w:val="none"/>
          <w:lang w:val="en-US" w:eastAsia="zh-CN"/>
        </w:rPr>
        <w:drawing>
          <wp:inline distT="0" distB="0" distL="114300" distR="114300">
            <wp:extent cx="5426075" cy="7637145"/>
            <wp:effectExtent l="0" t="0" r="0" b="0"/>
            <wp:docPr id="75" name="图片 75" descr="e809002081416b98b65d28e6af1f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e809002081416b98b65d28e6af1f794"/>
                    <pic:cNvPicPr>
                      <a:picLocks noChangeAspect="1"/>
                    </pic:cNvPicPr>
                  </pic:nvPicPr>
                  <pic:blipFill>
                    <a:blip r:embed="rId59"/>
                    <a:srcRect l="5235"/>
                    <a:stretch>
                      <a:fillRect/>
                    </a:stretch>
                  </pic:blipFill>
                  <pic:spPr>
                    <a:xfrm>
                      <a:off x="0" y="0"/>
                      <a:ext cx="5426075" cy="7637145"/>
                    </a:xfrm>
                    <a:prstGeom prst="rect">
                      <a:avLst/>
                    </a:prstGeom>
                  </pic:spPr>
                </pic:pic>
              </a:graphicData>
            </a:graphic>
          </wp:inline>
        </w:drawing>
      </w:r>
    </w:p>
    <w:p w14:paraId="4A635BC6">
      <w:pPr>
        <w:pStyle w:val="22"/>
        <w:adjustRightInd w:val="0"/>
        <w:snapToGrid w:val="0"/>
        <w:spacing w:before="0" w:beforeAutospacing="0" w:after="0" w:afterAutospacing="0"/>
        <w:outlineLvl w:val="0"/>
        <w:rPr>
          <w:rFonts w:hint="eastAsia" w:ascii="Times New Roman" w:hAnsi="Times New Roman" w:eastAsia="黑体"/>
          <w:snapToGrid w:val="0"/>
          <w:color w:val="auto"/>
          <w:sz w:val="21"/>
          <w:szCs w:val="21"/>
          <w:highlight w:val="none"/>
          <w:lang w:val="en-US" w:eastAsia="zh-CN"/>
        </w:rPr>
      </w:pPr>
      <w:bookmarkStart w:id="80" w:name="_Toc29645"/>
      <w:r>
        <w:rPr>
          <w:rFonts w:hint="eastAsia" w:ascii="Times New Roman" w:hAnsi="Times New Roman" w:eastAsia="黑体"/>
          <w:snapToGrid w:val="0"/>
          <w:color w:val="auto"/>
          <w:sz w:val="21"/>
          <w:szCs w:val="21"/>
          <w:highlight w:val="none"/>
          <w:lang w:val="en-US" w:eastAsia="zh-CN"/>
        </w:rPr>
        <w:t>附件6 建设单位变更说明</w:t>
      </w:r>
      <w:bookmarkEnd w:id="80"/>
    </w:p>
    <w:p w14:paraId="2424292D">
      <w:pPr>
        <w:rPr>
          <w:rFonts w:hint="default" w:ascii="Times New Roman" w:hAnsi="Times New Roman" w:eastAsia="黑体" w:cs="Times New Roman"/>
          <w:snapToGrid w:val="0"/>
          <w:color w:val="auto"/>
          <w:kern w:val="0"/>
          <w:sz w:val="21"/>
          <w:szCs w:val="21"/>
          <w:highlight w:val="none"/>
          <w:lang w:val="en-US" w:eastAsia="zh-CN" w:bidi="ar-SA"/>
        </w:rPr>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pPr>
      <w:r>
        <w:rPr>
          <w:rFonts w:hint="default" w:ascii="Times New Roman" w:hAnsi="Times New Roman" w:eastAsia="黑体" w:cs="Times New Roman"/>
          <w:snapToGrid w:val="0"/>
          <w:color w:val="auto"/>
          <w:kern w:val="0"/>
          <w:sz w:val="21"/>
          <w:szCs w:val="21"/>
          <w:highlight w:val="none"/>
          <w:lang w:val="en-US" w:eastAsia="zh-CN" w:bidi="ar-SA"/>
        </w:rPr>
        <w:drawing>
          <wp:inline distT="0" distB="0" distL="114300" distR="114300">
            <wp:extent cx="5728970" cy="8105775"/>
            <wp:effectExtent l="0" t="0" r="5080" b="9525"/>
            <wp:docPr id="2" name="图片 2" descr="情况说明(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情况说明(1)_00"/>
                    <pic:cNvPicPr>
                      <a:picLocks noChangeAspect="1"/>
                    </pic:cNvPicPr>
                  </pic:nvPicPr>
                  <pic:blipFill>
                    <a:blip r:embed="rId60"/>
                    <a:stretch>
                      <a:fillRect/>
                    </a:stretch>
                  </pic:blipFill>
                  <pic:spPr>
                    <a:xfrm>
                      <a:off x="0" y="0"/>
                      <a:ext cx="5728970" cy="8105775"/>
                    </a:xfrm>
                    <a:prstGeom prst="rect">
                      <a:avLst/>
                    </a:prstGeom>
                  </pic:spPr>
                </pic:pic>
              </a:graphicData>
            </a:graphic>
          </wp:inline>
        </w:drawing>
      </w:r>
    </w:p>
    <w:p w14:paraId="7E70FCB9">
      <w:pPr>
        <w:pStyle w:val="22"/>
        <w:adjustRightInd w:val="0"/>
        <w:snapToGrid w:val="0"/>
        <w:spacing w:before="0" w:beforeAutospacing="0" w:after="0" w:afterAutospacing="0"/>
        <w:outlineLvl w:val="0"/>
        <w:rPr>
          <w:rFonts w:hint="default" w:ascii="Times New Roman" w:hAnsi="Times New Roman" w:eastAsia="黑体"/>
          <w:snapToGrid w:val="0"/>
          <w:color w:val="auto"/>
          <w:sz w:val="21"/>
          <w:szCs w:val="21"/>
          <w:highlight w:val="none"/>
          <w:lang w:val="en-US" w:eastAsia="zh-CN"/>
        </w:rPr>
      </w:pPr>
      <w:bookmarkStart w:id="81" w:name="_Toc19085"/>
      <w:r>
        <w:rPr>
          <w:rFonts w:hint="eastAsia" w:ascii="Times New Roman" w:hAnsi="Times New Roman" w:eastAsia="黑体"/>
          <w:snapToGrid w:val="0"/>
          <w:color w:val="auto"/>
          <w:sz w:val="21"/>
          <w:szCs w:val="21"/>
          <w:highlight w:val="none"/>
          <w:lang w:val="en-US" w:eastAsia="zh-CN"/>
        </w:rPr>
        <w:t>附件7 施工情况说明</w:t>
      </w:r>
      <w:bookmarkEnd w:id="81"/>
    </w:p>
    <w:p w14:paraId="4B320341">
      <w:pPr>
        <w:rPr>
          <w:rFonts w:hint="default" w:eastAsia="黑体" w:cs="Times New Roman"/>
          <w:snapToGrid w:val="0"/>
          <w:color w:val="auto"/>
          <w:kern w:val="0"/>
          <w:sz w:val="21"/>
          <w:szCs w:val="21"/>
          <w:highlight w:val="none"/>
          <w:lang w:val="en-US" w:eastAsia="zh-CN" w:bidi="ar-SA"/>
        </w:rPr>
      </w:pPr>
      <w:r>
        <w:rPr>
          <w:rFonts w:hint="default" w:eastAsia="黑体" w:cs="Times New Roman"/>
          <w:snapToGrid w:val="0"/>
          <w:color w:val="auto"/>
          <w:kern w:val="0"/>
          <w:sz w:val="21"/>
          <w:szCs w:val="21"/>
          <w:highlight w:val="none"/>
          <w:lang w:val="en-US" w:eastAsia="zh-CN" w:bidi="ar-SA"/>
        </w:rPr>
        <w:drawing>
          <wp:inline distT="0" distB="0" distL="114300" distR="114300">
            <wp:extent cx="5728970" cy="8105775"/>
            <wp:effectExtent l="0" t="0" r="5080" b="9525"/>
            <wp:docPr id="17" name="图片 17" descr="饶河县 (9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饶河县 (97)_00"/>
                    <pic:cNvPicPr>
                      <a:picLocks noChangeAspect="1"/>
                    </pic:cNvPicPr>
                  </pic:nvPicPr>
                  <pic:blipFill>
                    <a:blip r:embed="rId61"/>
                    <a:stretch>
                      <a:fillRect/>
                    </a:stretch>
                  </pic:blipFill>
                  <pic:spPr>
                    <a:xfrm>
                      <a:off x="0" y="0"/>
                      <a:ext cx="5728970" cy="8105775"/>
                    </a:xfrm>
                    <a:prstGeom prst="rect">
                      <a:avLst/>
                    </a:prstGeom>
                  </pic:spPr>
                </pic:pic>
              </a:graphicData>
            </a:graphic>
          </wp:inline>
        </w:drawing>
      </w:r>
    </w:p>
    <w:sectPr>
      <w:pgSz w:w="11906" w:h="16838"/>
      <w:pgMar w:top="1440" w:right="1440" w:bottom="1440" w:left="1440" w:header="851" w:footer="1077" w:gutter="0"/>
      <w:pgBorders>
        <w:top w:val="none" w:sz="0" w:space="0"/>
        <w:left w:val="none" w:sz="0" w:space="0"/>
        <w:bottom w:val="none" w:sz="0" w:space="0"/>
        <w:right w:val="none" w:sz="0" w:space="0"/>
      </w:pgBorders>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9A68B1">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DA1889">
    <w:pPr>
      <w:pStyle w:val="16"/>
      <w:framePr w:wrap="around" w:vAnchor="text" w:hAnchor="margin" w:xAlign="outside" w:y="1"/>
      <w:rPr>
        <w:rStyle w:val="30"/>
        <w:rFonts w:ascii="宋体" w:hAnsi="宋体"/>
        <w:sz w:val="28"/>
        <w:szCs w:val="28"/>
      </w:rPr>
    </w:pPr>
    <w:r>
      <w:rPr>
        <w:rStyle w:val="30"/>
        <w:rFonts w:hint="eastAsia" w:ascii="宋体" w:hAnsi="宋体"/>
        <w:sz w:val="28"/>
        <w:szCs w:val="28"/>
      </w:rPr>
      <w:t>—</w:t>
    </w:r>
    <w:r>
      <w:rPr>
        <w:rStyle w:val="30"/>
        <w:rFonts w:hint="eastAsia" w:ascii="宋体" w:hAnsi="宋体"/>
        <w:sz w:val="20"/>
        <w:szCs w:val="20"/>
      </w:rPr>
      <w:t xml:space="preserve">  </w:t>
    </w:r>
    <w:r>
      <w:rPr>
        <w:rStyle w:val="30"/>
        <w:rFonts w:ascii="宋体" w:hAnsi="宋体"/>
        <w:sz w:val="26"/>
        <w:szCs w:val="26"/>
      </w:rPr>
      <w:fldChar w:fldCharType="begin"/>
    </w:r>
    <w:r>
      <w:rPr>
        <w:rStyle w:val="30"/>
        <w:rFonts w:ascii="宋体" w:hAnsi="宋体"/>
        <w:sz w:val="26"/>
        <w:szCs w:val="26"/>
      </w:rPr>
      <w:instrText xml:space="preserve">PAGE  </w:instrText>
    </w:r>
    <w:r>
      <w:rPr>
        <w:rStyle w:val="30"/>
        <w:rFonts w:ascii="宋体" w:hAnsi="宋体"/>
        <w:sz w:val="26"/>
        <w:szCs w:val="26"/>
      </w:rPr>
      <w:fldChar w:fldCharType="separate"/>
    </w:r>
    <w:r>
      <w:rPr>
        <w:rStyle w:val="30"/>
        <w:rFonts w:ascii="宋体" w:hAnsi="宋体"/>
        <w:sz w:val="26"/>
        <w:szCs w:val="26"/>
      </w:rPr>
      <w:t>22</w:t>
    </w:r>
    <w:r>
      <w:rPr>
        <w:rStyle w:val="30"/>
        <w:rFonts w:ascii="宋体" w:hAnsi="宋体"/>
        <w:sz w:val="26"/>
        <w:szCs w:val="26"/>
      </w:rPr>
      <w:fldChar w:fldCharType="end"/>
    </w:r>
    <w:r>
      <w:rPr>
        <w:rStyle w:val="30"/>
        <w:rFonts w:hint="eastAsia" w:ascii="宋体" w:hAnsi="宋体"/>
        <w:sz w:val="20"/>
        <w:szCs w:val="20"/>
      </w:rPr>
      <w:t xml:space="preserve">  </w:t>
    </w:r>
    <w:r>
      <w:rPr>
        <w:rStyle w:val="30"/>
        <w:rFonts w:hint="eastAsia" w:ascii="宋体" w:hAnsi="宋体"/>
        <w:sz w:val="28"/>
        <w:szCs w:val="28"/>
      </w:rPr>
      <w:t>—</w:t>
    </w:r>
  </w:p>
  <w:p w14:paraId="03EBFDF7">
    <w:pPr>
      <w:pStyle w:val="16"/>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8219D9">
    <w:pPr>
      <w:pStyle w:val="16"/>
      <w:framePr w:wrap="around" w:vAnchor="text" w:hAnchor="margin" w:xAlign="outside" w:y="1"/>
      <w:rPr>
        <w:rStyle w:val="30"/>
      </w:rPr>
    </w:pPr>
    <w:r>
      <w:rPr>
        <w:rStyle w:val="30"/>
      </w:rPr>
      <w:fldChar w:fldCharType="begin"/>
    </w:r>
    <w:r>
      <w:rPr>
        <w:rStyle w:val="30"/>
      </w:rPr>
      <w:instrText xml:space="preserve">PAGE  </w:instrText>
    </w:r>
    <w:r>
      <w:rPr>
        <w:rStyle w:val="30"/>
      </w:rPr>
      <w:fldChar w:fldCharType="end"/>
    </w:r>
  </w:p>
  <w:p w14:paraId="6C269D1B">
    <w:pPr>
      <w:pStyle w:val="16"/>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3488A9"/>
    <w:multiLevelType w:val="singleLevel"/>
    <w:tmpl w:val="AF3488A9"/>
    <w:lvl w:ilvl="0" w:tentative="0">
      <w:start w:val="3"/>
      <w:numFmt w:val="chineseCounting"/>
      <w:suff w:val="nothing"/>
      <w:lvlText w:val="%1、"/>
      <w:lvlJc w:val="left"/>
      <w:rPr>
        <w:rFonts w:hint="eastAsia"/>
      </w:rPr>
    </w:lvl>
  </w:abstractNum>
  <w:abstractNum w:abstractNumId="1">
    <w:nsid w:val="B68BBA00"/>
    <w:multiLevelType w:val="singleLevel"/>
    <w:tmpl w:val="B68BBA00"/>
    <w:lvl w:ilvl="0" w:tentative="0">
      <w:start w:val="6"/>
      <w:numFmt w:val="chineseCounting"/>
      <w:suff w:val="nothing"/>
      <w:lvlText w:val="%1、"/>
      <w:lvlJc w:val="left"/>
      <w:rPr>
        <w:rFonts w:hint="eastAsia"/>
      </w:rPr>
    </w:lvl>
  </w:abstractNum>
  <w:abstractNum w:abstractNumId="2">
    <w:nsid w:val="7018259A"/>
    <w:multiLevelType w:val="multilevel"/>
    <w:tmpl w:val="7018259A"/>
    <w:lvl w:ilvl="0" w:tentative="0">
      <w:start w:val="8"/>
      <w:numFmt w:val="decimal"/>
      <w:suff w:val="space"/>
      <w:lvlText w:val="%1"/>
      <w:lvlJc w:val="left"/>
      <w:pPr>
        <w:ind w:left="0" w:firstLine="0"/>
      </w:pPr>
      <w:rPr>
        <w:rFonts w:hint="eastAsia"/>
      </w:rPr>
    </w:lvl>
    <w:lvl w:ilvl="1" w:tentative="0">
      <w:start w:val="1"/>
      <w:numFmt w:val="decimal"/>
      <w:suff w:val="space"/>
      <w:lvlText w:val="%1.%2"/>
      <w:lvlJc w:val="left"/>
      <w:pPr>
        <w:ind w:left="0" w:firstLine="0"/>
      </w:pPr>
      <w:rPr>
        <w:rFonts w:hint="eastAsia"/>
      </w:rPr>
    </w:lvl>
    <w:lvl w:ilvl="2" w:tentative="0">
      <w:start w:val="1"/>
      <w:numFmt w:val="decimal"/>
      <w:pStyle w:val="4"/>
      <w:suff w:val="space"/>
      <w:lvlText w:val="%1.%2.%3"/>
      <w:lvlJc w:val="left"/>
      <w:pPr>
        <w:ind w:left="0" w:firstLine="0"/>
      </w:pPr>
      <w:rPr>
        <w:rFonts w:hint="eastAsia"/>
      </w:rPr>
    </w:lvl>
    <w:lvl w:ilvl="3" w:tentative="0">
      <w:start w:val="1"/>
      <w:numFmt w:val="decimal"/>
      <w:suff w:val="space"/>
      <w:lvlText w:val="%1.%2.%3.%4"/>
      <w:lvlJc w:val="left"/>
      <w:pPr>
        <w:ind w:left="0" w:firstLine="0"/>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03B3"/>
    <w:rsid w:val="00000908"/>
    <w:rsid w:val="00001CED"/>
    <w:rsid w:val="00001E67"/>
    <w:rsid w:val="0000231E"/>
    <w:rsid w:val="00003CD8"/>
    <w:rsid w:val="00006632"/>
    <w:rsid w:val="00006C91"/>
    <w:rsid w:val="000071C0"/>
    <w:rsid w:val="00007862"/>
    <w:rsid w:val="00007D63"/>
    <w:rsid w:val="00010798"/>
    <w:rsid w:val="000111E4"/>
    <w:rsid w:val="0001225A"/>
    <w:rsid w:val="000123A7"/>
    <w:rsid w:val="000136DB"/>
    <w:rsid w:val="00014965"/>
    <w:rsid w:val="0001523A"/>
    <w:rsid w:val="00015B02"/>
    <w:rsid w:val="00015B3C"/>
    <w:rsid w:val="00016ECB"/>
    <w:rsid w:val="00020E96"/>
    <w:rsid w:val="00022126"/>
    <w:rsid w:val="00022948"/>
    <w:rsid w:val="00022D94"/>
    <w:rsid w:val="000241F8"/>
    <w:rsid w:val="000268F9"/>
    <w:rsid w:val="000269F6"/>
    <w:rsid w:val="00030D1B"/>
    <w:rsid w:val="00031939"/>
    <w:rsid w:val="00031A97"/>
    <w:rsid w:val="00031FEC"/>
    <w:rsid w:val="00032D25"/>
    <w:rsid w:val="000340E6"/>
    <w:rsid w:val="0003434A"/>
    <w:rsid w:val="00035693"/>
    <w:rsid w:val="00037161"/>
    <w:rsid w:val="00037538"/>
    <w:rsid w:val="00040D89"/>
    <w:rsid w:val="0004280F"/>
    <w:rsid w:val="00043AD4"/>
    <w:rsid w:val="00043D86"/>
    <w:rsid w:val="00044C1C"/>
    <w:rsid w:val="000462EE"/>
    <w:rsid w:val="000505BE"/>
    <w:rsid w:val="000510EF"/>
    <w:rsid w:val="000518C8"/>
    <w:rsid w:val="00052173"/>
    <w:rsid w:val="0005219D"/>
    <w:rsid w:val="00053302"/>
    <w:rsid w:val="0005456C"/>
    <w:rsid w:val="00054949"/>
    <w:rsid w:val="00054DDC"/>
    <w:rsid w:val="0005568F"/>
    <w:rsid w:val="0005714E"/>
    <w:rsid w:val="00061323"/>
    <w:rsid w:val="0006153D"/>
    <w:rsid w:val="00061B1F"/>
    <w:rsid w:val="00065285"/>
    <w:rsid w:val="000664DB"/>
    <w:rsid w:val="00067F61"/>
    <w:rsid w:val="0007066A"/>
    <w:rsid w:val="00070841"/>
    <w:rsid w:val="0007127D"/>
    <w:rsid w:val="00071AE5"/>
    <w:rsid w:val="00072A83"/>
    <w:rsid w:val="00072CF1"/>
    <w:rsid w:val="0007325F"/>
    <w:rsid w:val="00074643"/>
    <w:rsid w:val="00074783"/>
    <w:rsid w:val="00074A49"/>
    <w:rsid w:val="00074BD3"/>
    <w:rsid w:val="00074EC3"/>
    <w:rsid w:val="00075889"/>
    <w:rsid w:val="000767B9"/>
    <w:rsid w:val="000772CF"/>
    <w:rsid w:val="000776B1"/>
    <w:rsid w:val="000800E8"/>
    <w:rsid w:val="000801E0"/>
    <w:rsid w:val="00082A29"/>
    <w:rsid w:val="0008331D"/>
    <w:rsid w:val="00083C18"/>
    <w:rsid w:val="0008411E"/>
    <w:rsid w:val="00085EC2"/>
    <w:rsid w:val="00086776"/>
    <w:rsid w:val="0008685A"/>
    <w:rsid w:val="000902D8"/>
    <w:rsid w:val="00090822"/>
    <w:rsid w:val="00090D8C"/>
    <w:rsid w:val="00090FA7"/>
    <w:rsid w:val="00092899"/>
    <w:rsid w:val="0009754A"/>
    <w:rsid w:val="000A0431"/>
    <w:rsid w:val="000A04C9"/>
    <w:rsid w:val="000A178E"/>
    <w:rsid w:val="000A1D95"/>
    <w:rsid w:val="000A251F"/>
    <w:rsid w:val="000A2830"/>
    <w:rsid w:val="000A2D89"/>
    <w:rsid w:val="000A38C2"/>
    <w:rsid w:val="000A451C"/>
    <w:rsid w:val="000A557E"/>
    <w:rsid w:val="000A7583"/>
    <w:rsid w:val="000A7F1F"/>
    <w:rsid w:val="000B0414"/>
    <w:rsid w:val="000B058F"/>
    <w:rsid w:val="000B0672"/>
    <w:rsid w:val="000B09A2"/>
    <w:rsid w:val="000B1806"/>
    <w:rsid w:val="000B1CBF"/>
    <w:rsid w:val="000B3A3D"/>
    <w:rsid w:val="000B4961"/>
    <w:rsid w:val="000B636B"/>
    <w:rsid w:val="000B693F"/>
    <w:rsid w:val="000B6D4B"/>
    <w:rsid w:val="000B6F17"/>
    <w:rsid w:val="000B7C8D"/>
    <w:rsid w:val="000C0495"/>
    <w:rsid w:val="000C053B"/>
    <w:rsid w:val="000C09AC"/>
    <w:rsid w:val="000C0A63"/>
    <w:rsid w:val="000C14AE"/>
    <w:rsid w:val="000C270A"/>
    <w:rsid w:val="000C31D6"/>
    <w:rsid w:val="000C437E"/>
    <w:rsid w:val="000C7E58"/>
    <w:rsid w:val="000D12E2"/>
    <w:rsid w:val="000D354E"/>
    <w:rsid w:val="000D35AA"/>
    <w:rsid w:val="000D46D9"/>
    <w:rsid w:val="000D46EE"/>
    <w:rsid w:val="000D4D6E"/>
    <w:rsid w:val="000D5A70"/>
    <w:rsid w:val="000D70D5"/>
    <w:rsid w:val="000D7EA8"/>
    <w:rsid w:val="000E0165"/>
    <w:rsid w:val="000E03D2"/>
    <w:rsid w:val="000E04BD"/>
    <w:rsid w:val="000E154C"/>
    <w:rsid w:val="000E33DF"/>
    <w:rsid w:val="000E354E"/>
    <w:rsid w:val="000E443C"/>
    <w:rsid w:val="000E5F16"/>
    <w:rsid w:val="000E6CA3"/>
    <w:rsid w:val="000E6EF6"/>
    <w:rsid w:val="000E763B"/>
    <w:rsid w:val="000F0283"/>
    <w:rsid w:val="000F17BF"/>
    <w:rsid w:val="000F28F8"/>
    <w:rsid w:val="000F30BD"/>
    <w:rsid w:val="000F31D5"/>
    <w:rsid w:val="000F4452"/>
    <w:rsid w:val="000F46F9"/>
    <w:rsid w:val="000F4808"/>
    <w:rsid w:val="000F515D"/>
    <w:rsid w:val="000F63BD"/>
    <w:rsid w:val="000F6DA1"/>
    <w:rsid w:val="000F701B"/>
    <w:rsid w:val="00100F22"/>
    <w:rsid w:val="00101C03"/>
    <w:rsid w:val="00102638"/>
    <w:rsid w:val="00104284"/>
    <w:rsid w:val="001056A0"/>
    <w:rsid w:val="00107707"/>
    <w:rsid w:val="0010778E"/>
    <w:rsid w:val="00107ED7"/>
    <w:rsid w:val="001108CA"/>
    <w:rsid w:val="00110BA6"/>
    <w:rsid w:val="00111545"/>
    <w:rsid w:val="001136B5"/>
    <w:rsid w:val="00115279"/>
    <w:rsid w:val="001161BA"/>
    <w:rsid w:val="001166E2"/>
    <w:rsid w:val="00116ECF"/>
    <w:rsid w:val="00117447"/>
    <w:rsid w:val="00117459"/>
    <w:rsid w:val="0011749A"/>
    <w:rsid w:val="00120910"/>
    <w:rsid w:val="001217DE"/>
    <w:rsid w:val="00122B63"/>
    <w:rsid w:val="00123E9F"/>
    <w:rsid w:val="00127A68"/>
    <w:rsid w:val="00132BF6"/>
    <w:rsid w:val="0013344B"/>
    <w:rsid w:val="00134552"/>
    <w:rsid w:val="001347F9"/>
    <w:rsid w:val="00135B4E"/>
    <w:rsid w:val="00136123"/>
    <w:rsid w:val="00140344"/>
    <w:rsid w:val="00140B13"/>
    <w:rsid w:val="00140CCC"/>
    <w:rsid w:val="00140F3A"/>
    <w:rsid w:val="00140FA9"/>
    <w:rsid w:val="001412EE"/>
    <w:rsid w:val="00141B68"/>
    <w:rsid w:val="001420B7"/>
    <w:rsid w:val="00142A7F"/>
    <w:rsid w:val="00142D05"/>
    <w:rsid w:val="001466DA"/>
    <w:rsid w:val="00147CEF"/>
    <w:rsid w:val="00150F31"/>
    <w:rsid w:val="00151929"/>
    <w:rsid w:val="0015405C"/>
    <w:rsid w:val="00154302"/>
    <w:rsid w:val="00154DE1"/>
    <w:rsid w:val="00155B40"/>
    <w:rsid w:val="001568CB"/>
    <w:rsid w:val="00156911"/>
    <w:rsid w:val="00157435"/>
    <w:rsid w:val="00160BFD"/>
    <w:rsid w:val="00163E87"/>
    <w:rsid w:val="00163EEA"/>
    <w:rsid w:val="00163FB9"/>
    <w:rsid w:val="00164268"/>
    <w:rsid w:val="0016581A"/>
    <w:rsid w:val="00165DCB"/>
    <w:rsid w:val="001669D4"/>
    <w:rsid w:val="00166A72"/>
    <w:rsid w:val="00167A07"/>
    <w:rsid w:val="0017046A"/>
    <w:rsid w:val="001704A3"/>
    <w:rsid w:val="00171748"/>
    <w:rsid w:val="00171A59"/>
    <w:rsid w:val="00172107"/>
    <w:rsid w:val="0017341A"/>
    <w:rsid w:val="00173753"/>
    <w:rsid w:val="00174174"/>
    <w:rsid w:val="0017469B"/>
    <w:rsid w:val="00174A3C"/>
    <w:rsid w:val="00174E9F"/>
    <w:rsid w:val="0017504D"/>
    <w:rsid w:val="001761FA"/>
    <w:rsid w:val="00176F2A"/>
    <w:rsid w:val="00177422"/>
    <w:rsid w:val="001774AA"/>
    <w:rsid w:val="00180F89"/>
    <w:rsid w:val="0018142F"/>
    <w:rsid w:val="00181EFF"/>
    <w:rsid w:val="00182080"/>
    <w:rsid w:val="00184F10"/>
    <w:rsid w:val="00185198"/>
    <w:rsid w:val="001851F8"/>
    <w:rsid w:val="00185382"/>
    <w:rsid w:val="00185546"/>
    <w:rsid w:val="00187E56"/>
    <w:rsid w:val="00190234"/>
    <w:rsid w:val="00190766"/>
    <w:rsid w:val="00190848"/>
    <w:rsid w:val="00190945"/>
    <w:rsid w:val="00190BF0"/>
    <w:rsid w:val="00191155"/>
    <w:rsid w:val="0019146B"/>
    <w:rsid w:val="00192F81"/>
    <w:rsid w:val="00194398"/>
    <w:rsid w:val="00195170"/>
    <w:rsid w:val="001955D0"/>
    <w:rsid w:val="001977BE"/>
    <w:rsid w:val="001979A5"/>
    <w:rsid w:val="001A01FF"/>
    <w:rsid w:val="001A0385"/>
    <w:rsid w:val="001A1907"/>
    <w:rsid w:val="001A1C26"/>
    <w:rsid w:val="001A2A1E"/>
    <w:rsid w:val="001A3659"/>
    <w:rsid w:val="001A384B"/>
    <w:rsid w:val="001A4531"/>
    <w:rsid w:val="001A512B"/>
    <w:rsid w:val="001A5DD3"/>
    <w:rsid w:val="001A7D2A"/>
    <w:rsid w:val="001B002B"/>
    <w:rsid w:val="001B2767"/>
    <w:rsid w:val="001B2778"/>
    <w:rsid w:val="001B3847"/>
    <w:rsid w:val="001B38DE"/>
    <w:rsid w:val="001B3BFA"/>
    <w:rsid w:val="001B4FB1"/>
    <w:rsid w:val="001B56CE"/>
    <w:rsid w:val="001B574C"/>
    <w:rsid w:val="001B5ABA"/>
    <w:rsid w:val="001C0AF9"/>
    <w:rsid w:val="001C155A"/>
    <w:rsid w:val="001C29F0"/>
    <w:rsid w:val="001C4728"/>
    <w:rsid w:val="001C48C0"/>
    <w:rsid w:val="001C5783"/>
    <w:rsid w:val="001C7616"/>
    <w:rsid w:val="001D0D01"/>
    <w:rsid w:val="001D2143"/>
    <w:rsid w:val="001D2455"/>
    <w:rsid w:val="001D261E"/>
    <w:rsid w:val="001D52A4"/>
    <w:rsid w:val="001D6603"/>
    <w:rsid w:val="001D6726"/>
    <w:rsid w:val="001D7517"/>
    <w:rsid w:val="001D786C"/>
    <w:rsid w:val="001E312B"/>
    <w:rsid w:val="001E4DD6"/>
    <w:rsid w:val="001E70E5"/>
    <w:rsid w:val="001E7F5F"/>
    <w:rsid w:val="001F128E"/>
    <w:rsid w:val="001F26E2"/>
    <w:rsid w:val="001F271F"/>
    <w:rsid w:val="001F3347"/>
    <w:rsid w:val="001F361C"/>
    <w:rsid w:val="001F3959"/>
    <w:rsid w:val="001F4440"/>
    <w:rsid w:val="001F474D"/>
    <w:rsid w:val="001F69E4"/>
    <w:rsid w:val="001F7ED1"/>
    <w:rsid w:val="00200A13"/>
    <w:rsid w:val="00200F88"/>
    <w:rsid w:val="00201717"/>
    <w:rsid w:val="00201856"/>
    <w:rsid w:val="00202280"/>
    <w:rsid w:val="00203782"/>
    <w:rsid w:val="002037BA"/>
    <w:rsid w:val="00204BD9"/>
    <w:rsid w:val="0020578F"/>
    <w:rsid w:val="0020588B"/>
    <w:rsid w:val="00206A65"/>
    <w:rsid w:val="00207CEE"/>
    <w:rsid w:val="00211307"/>
    <w:rsid w:val="002120DD"/>
    <w:rsid w:val="00212B4E"/>
    <w:rsid w:val="00212D31"/>
    <w:rsid w:val="002130C7"/>
    <w:rsid w:val="00214920"/>
    <w:rsid w:val="00214A51"/>
    <w:rsid w:val="00215720"/>
    <w:rsid w:val="002158AB"/>
    <w:rsid w:val="00217218"/>
    <w:rsid w:val="00217954"/>
    <w:rsid w:val="0022014D"/>
    <w:rsid w:val="002209A2"/>
    <w:rsid w:val="002218A8"/>
    <w:rsid w:val="00222B5F"/>
    <w:rsid w:val="00222F3D"/>
    <w:rsid w:val="0022306D"/>
    <w:rsid w:val="0022324F"/>
    <w:rsid w:val="002236B5"/>
    <w:rsid w:val="00224C66"/>
    <w:rsid w:val="00226574"/>
    <w:rsid w:val="002275EC"/>
    <w:rsid w:val="002278EC"/>
    <w:rsid w:val="0023091B"/>
    <w:rsid w:val="00231295"/>
    <w:rsid w:val="0023139D"/>
    <w:rsid w:val="00231566"/>
    <w:rsid w:val="002316D0"/>
    <w:rsid w:val="00231A58"/>
    <w:rsid w:val="0023427F"/>
    <w:rsid w:val="00234B2D"/>
    <w:rsid w:val="00235742"/>
    <w:rsid w:val="002357C7"/>
    <w:rsid w:val="00236741"/>
    <w:rsid w:val="002367C4"/>
    <w:rsid w:val="0023684C"/>
    <w:rsid w:val="00236E84"/>
    <w:rsid w:val="00240249"/>
    <w:rsid w:val="00240605"/>
    <w:rsid w:val="002406CD"/>
    <w:rsid w:val="00241710"/>
    <w:rsid w:val="00241C56"/>
    <w:rsid w:val="00244E69"/>
    <w:rsid w:val="00245088"/>
    <w:rsid w:val="00245534"/>
    <w:rsid w:val="002467FE"/>
    <w:rsid w:val="002471CC"/>
    <w:rsid w:val="00247494"/>
    <w:rsid w:val="00250D54"/>
    <w:rsid w:val="0025143B"/>
    <w:rsid w:val="00251458"/>
    <w:rsid w:val="002515CF"/>
    <w:rsid w:val="00251EF6"/>
    <w:rsid w:val="002522D7"/>
    <w:rsid w:val="00254187"/>
    <w:rsid w:val="0025679E"/>
    <w:rsid w:val="0026022E"/>
    <w:rsid w:val="00260C68"/>
    <w:rsid w:val="00263D75"/>
    <w:rsid w:val="002648B0"/>
    <w:rsid w:val="00265364"/>
    <w:rsid w:val="00266B69"/>
    <w:rsid w:val="00271135"/>
    <w:rsid w:val="00271311"/>
    <w:rsid w:val="0027134A"/>
    <w:rsid w:val="0027182E"/>
    <w:rsid w:val="00271885"/>
    <w:rsid w:val="00271C78"/>
    <w:rsid w:val="002722F7"/>
    <w:rsid w:val="0027346E"/>
    <w:rsid w:val="00273E96"/>
    <w:rsid w:val="00274053"/>
    <w:rsid w:val="00274105"/>
    <w:rsid w:val="00274DA8"/>
    <w:rsid w:val="00275271"/>
    <w:rsid w:val="0027535E"/>
    <w:rsid w:val="00275AA6"/>
    <w:rsid w:val="002767C6"/>
    <w:rsid w:val="002775DD"/>
    <w:rsid w:val="002805F2"/>
    <w:rsid w:val="002805FB"/>
    <w:rsid w:val="002807D5"/>
    <w:rsid w:val="00280B52"/>
    <w:rsid w:val="00281E93"/>
    <w:rsid w:val="00282790"/>
    <w:rsid w:val="00282CCD"/>
    <w:rsid w:val="00284859"/>
    <w:rsid w:val="00284E46"/>
    <w:rsid w:val="002859F8"/>
    <w:rsid w:val="00290F78"/>
    <w:rsid w:val="002913F0"/>
    <w:rsid w:val="002917A8"/>
    <w:rsid w:val="002937E1"/>
    <w:rsid w:val="00296A07"/>
    <w:rsid w:val="002974FC"/>
    <w:rsid w:val="002A1114"/>
    <w:rsid w:val="002A168C"/>
    <w:rsid w:val="002A1D57"/>
    <w:rsid w:val="002A2AA4"/>
    <w:rsid w:val="002A2C48"/>
    <w:rsid w:val="002A3EED"/>
    <w:rsid w:val="002A4A39"/>
    <w:rsid w:val="002A4B0D"/>
    <w:rsid w:val="002A54ED"/>
    <w:rsid w:val="002A5A17"/>
    <w:rsid w:val="002A5F38"/>
    <w:rsid w:val="002A6425"/>
    <w:rsid w:val="002A7FE4"/>
    <w:rsid w:val="002B0BD1"/>
    <w:rsid w:val="002B0EBA"/>
    <w:rsid w:val="002B12E3"/>
    <w:rsid w:val="002B1F43"/>
    <w:rsid w:val="002B2C5C"/>
    <w:rsid w:val="002B3523"/>
    <w:rsid w:val="002B49E2"/>
    <w:rsid w:val="002B4CDA"/>
    <w:rsid w:val="002B51AA"/>
    <w:rsid w:val="002B58A5"/>
    <w:rsid w:val="002B648A"/>
    <w:rsid w:val="002B6B31"/>
    <w:rsid w:val="002B70F5"/>
    <w:rsid w:val="002B749F"/>
    <w:rsid w:val="002B79BE"/>
    <w:rsid w:val="002B7B00"/>
    <w:rsid w:val="002B7C44"/>
    <w:rsid w:val="002B7F63"/>
    <w:rsid w:val="002C0AD0"/>
    <w:rsid w:val="002C1388"/>
    <w:rsid w:val="002C217A"/>
    <w:rsid w:val="002C26F2"/>
    <w:rsid w:val="002C28F0"/>
    <w:rsid w:val="002C31B9"/>
    <w:rsid w:val="002C3A92"/>
    <w:rsid w:val="002C3C6A"/>
    <w:rsid w:val="002C3E85"/>
    <w:rsid w:val="002C3FE6"/>
    <w:rsid w:val="002C5C21"/>
    <w:rsid w:val="002C64D4"/>
    <w:rsid w:val="002C7956"/>
    <w:rsid w:val="002C7E89"/>
    <w:rsid w:val="002D0632"/>
    <w:rsid w:val="002D11D1"/>
    <w:rsid w:val="002D261C"/>
    <w:rsid w:val="002D2710"/>
    <w:rsid w:val="002D2A5C"/>
    <w:rsid w:val="002D2BDA"/>
    <w:rsid w:val="002D2E23"/>
    <w:rsid w:val="002D42DB"/>
    <w:rsid w:val="002D6CA8"/>
    <w:rsid w:val="002E048E"/>
    <w:rsid w:val="002E0FD6"/>
    <w:rsid w:val="002E1F3A"/>
    <w:rsid w:val="002E298A"/>
    <w:rsid w:val="002E45F9"/>
    <w:rsid w:val="002E5603"/>
    <w:rsid w:val="002E63BA"/>
    <w:rsid w:val="002E6413"/>
    <w:rsid w:val="002F02A4"/>
    <w:rsid w:val="002F055A"/>
    <w:rsid w:val="002F0753"/>
    <w:rsid w:val="002F0EE7"/>
    <w:rsid w:val="002F224A"/>
    <w:rsid w:val="002F272B"/>
    <w:rsid w:val="002F4F80"/>
    <w:rsid w:val="002F5A25"/>
    <w:rsid w:val="002F7928"/>
    <w:rsid w:val="002F7C6D"/>
    <w:rsid w:val="00300423"/>
    <w:rsid w:val="00300B08"/>
    <w:rsid w:val="00301424"/>
    <w:rsid w:val="0030200A"/>
    <w:rsid w:val="003027E4"/>
    <w:rsid w:val="0030332C"/>
    <w:rsid w:val="00303E86"/>
    <w:rsid w:val="00304FF4"/>
    <w:rsid w:val="00305E24"/>
    <w:rsid w:val="00306408"/>
    <w:rsid w:val="003073C0"/>
    <w:rsid w:val="00307568"/>
    <w:rsid w:val="00307E68"/>
    <w:rsid w:val="00310127"/>
    <w:rsid w:val="00312296"/>
    <w:rsid w:val="003130D2"/>
    <w:rsid w:val="0031340E"/>
    <w:rsid w:val="00313E51"/>
    <w:rsid w:val="00315347"/>
    <w:rsid w:val="003161B4"/>
    <w:rsid w:val="00316464"/>
    <w:rsid w:val="00316A20"/>
    <w:rsid w:val="0032073A"/>
    <w:rsid w:val="0032082B"/>
    <w:rsid w:val="00321044"/>
    <w:rsid w:val="00321D8E"/>
    <w:rsid w:val="00322C18"/>
    <w:rsid w:val="00322F9E"/>
    <w:rsid w:val="00323A07"/>
    <w:rsid w:val="00324036"/>
    <w:rsid w:val="00324053"/>
    <w:rsid w:val="0032724D"/>
    <w:rsid w:val="00330C84"/>
    <w:rsid w:val="00331909"/>
    <w:rsid w:val="00334404"/>
    <w:rsid w:val="00334681"/>
    <w:rsid w:val="0033474C"/>
    <w:rsid w:val="00334996"/>
    <w:rsid w:val="003350B0"/>
    <w:rsid w:val="003352E8"/>
    <w:rsid w:val="00336689"/>
    <w:rsid w:val="00336969"/>
    <w:rsid w:val="00336C52"/>
    <w:rsid w:val="00341B3E"/>
    <w:rsid w:val="00341B42"/>
    <w:rsid w:val="00341ECB"/>
    <w:rsid w:val="003434E8"/>
    <w:rsid w:val="0034393F"/>
    <w:rsid w:val="00344679"/>
    <w:rsid w:val="00345154"/>
    <w:rsid w:val="0034560E"/>
    <w:rsid w:val="003463A9"/>
    <w:rsid w:val="00350523"/>
    <w:rsid w:val="0035127A"/>
    <w:rsid w:val="003516C1"/>
    <w:rsid w:val="00352712"/>
    <w:rsid w:val="00352975"/>
    <w:rsid w:val="00355CC4"/>
    <w:rsid w:val="00356868"/>
    <w:rsid w:val="00357172"/>
    <w:rsid w:val="00357864"/>
    <w:rsid w:val="0036485B"/>
    <w:rsid w:val="00365BC9"/>
    <w:rsid w:val="003672EE"/>
    <w:rsid w:val="003709F9"/>
    <w:rsid w:val="0037294E"/>
    <w:rsid w:val="00373B0D"/>
    <w:rsid w:val="003741EE"/>
    <w:rsid w:val="00375F76"/>
    <w:rsid w:val="00376988"/>
    <w:rsid w:val="00376FD1"/>
    <w:rsid w:val="00377237"/>
    <w:rsid w:val="00377647"/>
    <w:rsid w:val="00381A72"/>
    <w:rsid w:val="00384CE4"/>
    <w:rsid w:val="00390E8C"/>
    <w:rsid w:val="0039171C"/>
    <w:rsid w:val="00391D7D"/>
    <w:rsid w:val="0039334D"/>
    <w:rsid w:val="003945F7"/>
    <w:rsid w:val="00395171"/>
    <w:rsid w:val="003962FC"/>
    <w:rsid w:val="00397BEF"/>
    <w:rsid w:val="003A0641"/>
    <w:rsid w:val="003A1948"/>
    <w:rsid w:val="003A1A12"/>
    <w:rsid w:val="003A1ACB"/>
    <w:rsid w:val="003A5732"/>
    <w:rsid w:val="003A5FAA"/>
    <w:rsid w:val="003A6158"/>
    <w:rsid w:val="003B06FE"/>
    <w:rsid w:val="003B152A"/>
    <w:rsid w:val="003B3703"/>
    <w:rsid w:val="003B545B"/>
    <w:rsid w:val="003B742E"/>
    <w:rsid w:val="003B7A13"/>
    <w:rsid w:val="003B7DA7"/>
    <w:rsid w:val="003C0F99"/>
    <w:rsid w:val="003C1A05"/>
    <w:rsid w:val="003C3DAE"/>
    <w:rsid w:val="003C6BC7"/>
    <w:rsid w:val="003D04AE"/>
    <w:rsid w:val="003D2EA9"/>
    <w:rsid w:val="003D3EE9"/>
    <w:rsid w:val="003D509D"/>
    <w:rsid w:val="003E1A30"/>
    <w:rsid w:val="003E34B5"/>
    <w:rsid w:val="003E421F"/>
    <w:rsid w:val="003E6981"/>
    <w:rsid w:val="003E6B9D"/>
    <w:rsid w:val="003E7681"/>
    <w:rsid w:val="003F0713"/>
    <w:rsid w:val="003F0809"/>
    <w:rsid w:val="003F0E5F"/>
    <w:rsid w:val="003F128B"/>
    <w:rsid w:val="003F1B5D"/>
    <w:rsid w:val="003F288E"/>
    <w:rsid w:val="003F2A42"/>
    <w:rsid w:val="003F545E"/>
    <w:rsid w:val="003F611C"/>
    <w:rsid w:val="003F69D7"/>
    <w:rsid w:val="003F755C"/>
    <w:rsid w:val="0040166E"/>
    <w:rsid w:val="00401E0C"/>
    <w:rsid w:val="004027CB"/>
    <w:rsid w:val="004039B1"/>
    <w:rsid w:val="00403EA0"/>
    <w:rsid w:val="00405AA9"/>
    <w:rsid w:val="004060E6"/>
    <w:rsid w:val="00406F01"/>
    <w:rsid w:val="004078F4"/>
    <w:rsid w:val="004108A3"/>
    <w:rsid w:val="00411999"/>
    <w:rsid w:val="00411B36"/>
    <w:rsid w:val="00411FF8"/>
    <w:rsid w:val="004121D7"/>
    <w:rsid w:val="004144BB"/>
    <w:rsid w:val="00416D50"/>
    <w:rsid w:val="00417020"/>
    <w:rsid w:val="00417772"/>
    <w:rsid w:val="00417D55"/>
    <w:rsid w:val="00420E6A"/>
    <w:rsid w:val="0042205E"/>
    <w:rsid w:val="004228A3"/>
    <w:rsid w:val="00424151"/>
    <w:rsid w:val="00424B0A"/>
    <w:rsid w:val="00425B55"/>
    <w:rsid w:val="00425B86"/>
    <w:rsid w:val="0042604A"/>
    <w:rsid w:val="00427343"/>
    <w:rsid w:val="00427D62"/>
    <w:rsid w:val="00432488"/>
    <w:rsid w:val="00433159"/>
    <w:rsid w:val="00433CA9"/>
    <w:rsid w:val="00433E10"/>
    <w:rsid w:val="0043521D"/>
    <w:rsid w:val="00435CC1"/>
    <w:rsid w:val="00437953"/>
    <w:rsid w:val="00441E27"/>
    <w:rsid w:val="00442024"/>
    <w:rsid w:val="0044254C"/>
    <w:rsid w:val="00443F6A"/>
    <w:rsid w:val="00447893"/>
    <w:rsid w:val="004501BD"/>
    <w:rsid w:val="004503EC"/>
    <w:rsid w:val="00450A17"/>
    <w:rsid w:val="0045138D"/>
    <w:rsid w:val="00453528"/>
    <w:rsid w:val="00455A65"/>
    <w:rsid w:val="00455F65"/>
    <w:rsid w:val="00456930"/>
    <w:rsid w:val="00456E0C"/>
    <w:rsid w:val="004606BB"/>
    <w:rsid w:val="00460D47"/>
    <w:rsid w:val="00462AC8"/>
    <w:rsid w:val="00462B36"/>
    <w:rsid w:val="00463226"/>
    <w:rsid w:val="00466321"/>
    <w:rsid w:val="00466B2F"/>
    <w:rsid w:val="004672AF"/>
    <w:rsid w:val="00467348"/>
    <w:rsid w:val="004709F9"/>
    <w:rsid w:val="00470BA6"/>
    <w:rsid w:val="004719E7"/>
    <w:rsid w:val="00471C5A"/>
    <w:rsid w:val="004727B0"/>
    <w:rsid w:val="00472B37"/>
    <w:rsid w:val="00473031"/>
    <w:rsid w:val="0047375A"/>
    <w:rsid w:val="00473B8C"/>
    <w:rsid w:val="00474AB5"/>
    <w:rsid w:val="00476782"/>
    <w:rsid w:val="004768AE"/>
    <w:rsid w:val="00477417"/>
    <w:rsid w:val="004777D8"/>
    <w:rsid w:val="00480247"/>
    <w:rsid w:val="0048081D"/>
    <w:rsid w:val="0048117E"/>
    <w:rsid w:val="004812D2"/>
    <w:rsid w:val="00483364"/>
    <w:rsid w:val="004855F6"/>
    <w:rsid w:val="00486F0C"/>
    <w:rsid w:val="00487205"/>
    <w:rsid w:val="00487343"/>
    <w:rsid w:val="0049200D"/>
    <w:rsid w:val="00492A40"/>
    <w:rsid w:val="00494496"/>
    <w:rsid w:val="00494670"/>
    <w:rsid w:val="00495214"/>
    <w:rsid w:val="0049542D"/>
    <w:rsid w:val="0049759E"/>
    <w:rsid w:val="004A0798"/>
    <w:rsid w:val="004A098C"/>
    <w:rsid w:val="004A0EB4"/>
    <w:rsid w:val="004A3823"/>
    <w:rsid w:val="004A40F8"/>
    <w:rsid w:val="004A59BB"/>
    <w:rsid w:val="004A7541"/>
    <w:rsid w:val="004A7F3D"/>
    <w:rsid w:val="004B198E"/>
    <w:rsid w:val="004B1C07"/>
    <w:rsid w:val="004B432C"/>
    <w:rsid w:val="004B43A3"/>
    <w:rsid w:val="004B4BDF"/>
    <w:rsid w:val="004B4C49"/>
    <w:rsid w:val="004B56FF"/>
    <w:rsid w:val="004B58A5"/>
    <w:rsid w:val="004B58F1"/>
    <w:rsid w:val="004B63D9"/>
    <w:rsid w:val="004B6942"/>
    <w:rsid w:val="004B6BA5"/>
    <w:rsid w:val="004C006E"/>
    <w:rsid w:val="004C0882"/>
    <w:rsid w:val="004C2D0C"/>
    <w:rsid w:val="004C3288"/>
    <w:rsid w:val="004C3821"/>
    <w:rsid w:val="004C49BA"/>
    <w:rsid w:val="004C4E62"/>
    <w:rsid w:val="004C52A5"/>
    <w:rsid w:val="004C55BE"/>
    <w:rsid w:val="004C6455"/>
    <w:rsid w:val="004D0ECD"/>
    <w:rsid w:val="004D0FCB"/>
    <w:rsid w:val="004D2627"/>
    <w:rsid w:val="004D2ED3"/>
    <w:rsid w:val="004D34D7"/>
    <w:rsid w:val="004D5685"/>
    <w:rsid w:val="004D595A"/>
    <w:rsid w:val="004D5CC4"/>
    <w:rsid w:val="004D621D"/>
    <w:rsid w:val="004D623D"/>
    <w:rsid w:val="004D7805"/>
    <w:rsid w:val="004E094C"/>
    <w:rsid w:val="004E0D33"/>
    <w:rsid w:val="004E0E8D"/>
    <w:rsid w:val="004E3A2B"/>
    <w:rsid w:val="004E5B30"/>
    <w:rsid w:val="004E6F9A"/>
    <w:rsid w:val="004E7D94"/>
    <w:rsid w:val="004F0779"/>
    <w:rsid w:val="004F10D9"/>
    <w:rsid w:val="004F1194"/>
    <w:rsid w:val="004F1230"/>
    <w:rsid w:val="004F173F"/>
    <w:rsid w:val="004F177C"/>
    <w:rsid w:val="004F1BB4"/>
    <w:rsid w:val="004F2950"/>
    <w:rsid w:val="004F2DCE"/>
    <w:rsid w:val="00500233"/>
    <w:rsid w:val="00500844"/>
    <w:rsid w:val="005013B2"/>
    <w:rsid w:val="005015DE"/>
    <w:rsid w:val="0050182E"/>
    <w:rsid w:val="00502AA8"/>
    <w:rsid w:val="00502C6B"/>
    <w:rsid w:val="00502D58"/>
    <w:rsid w:val="005038BB"/>
    <w:rsid w:val="005039CB"/>
    <w:rsid w:val="00504F5B"/>
    <w:rsid w:val="0050558F"/>
    <w:rsid w:val="005057E0"/>
    <w:rsid w:val="00506286"/>
    <w:rsid w:val="00507B23"/>
    <w:rsid w:val="0051040F"/>
    <w:rsid w:val="005106D9"/>
    <w:rsid w:val="00510813"/>
    <w:rsid w:val="00510B80"/>
    <w:rsid w:val="00511056"/>
    <w:rsid w:val="00511DE0"/>
    <w:rsid w:val="0051267E"/>
    <w:rsid w:val="0051359F"/>
    <w:rsid w:val="00517B05"/>
    <w:rsid w:val="00517F02"/>
    <w:rsid w:val="00521B9E"/>
    <w:rsid w:val="00524063"/>
    <w:rsid w:val="005244A1"/>
    <w:rsid w:val="00524547"/>
    <w:rsid w:val="0052567C"/>
    <w:rsid w:val="005258A2"/>
    <w:rsid w:val="00525908"/>
    <w:rsid w:val="00526298"/>
    <w:rsid w:val="0052768F"/>
    <w:rsid w:val="00530427"/>
    <w:rsid w:val="0053083B"/>
    <w:rsid w:val="00530F7C"/>
    <w:rsid w:val="00534503"/>
    <w:rsid w:val="00534567"/>
    <w:rsid w:val="0053470F"/>
    <w:rsid w:val="00534D00"/>
    <w:rsid w:val="00534F43"/>
    <w:rsid w:val="00535A84"/>
    <w:rsid w:val="00536165"/>
    <w:rsid w:val="00536889"/>
    <w:rsid w:val="00536CA7"/>
    <w:rsid w:val="00537427"/>
    <w:rsid w:val="00540D25"/>
    <w:rsid w:val="005411CE"/>
    <w:rsid w:val="00541EB3"/>
    <w:rsid w:val="00542558"/>
    <w:rsid w:val="00542E07"/>
    <w:rsid w:val="005432BB"/>
    <w:rsid w:val="005437E0"/>
    <w:rsid w:val="005441CE"/>
    <w:rsid w:val="00545063"/>
    <w:rsid w:val="00547606"/>
    <w:rsid w:val="00550DAD"/>
    <w:rsid w:val="00551652"/>
    <w:rsid w:val="00552BC8"/>
    <w:rsid w:val="00552BC9"/>
    <w:rsid w:val="00554A7B"/>
    <w:rsid w:val="00554F63"/>
    <w:rsid w:val="0055572C"/>
    <w:rsid w:val="0055574E"/>
    <w:rsid w:val="00556D8D"/>
    <w:rsid w:val="005577D1"/>
    <w:rsid w:val="0056064F"/>
    <w:rsid w:val="005607FD"/>
    <w:rsid w:val="005607FF"/>
    <w:rsid w:val="005614D7"/>
    <w:rsid w:val="00561B84"/>
    <w:rsid w:val="00562772"/>
    <w:rsid w:val="00563376"/>
    <w:rsid w:val="005648A4"/>
    <w:rsid w:val="00564E47"/>
    <w:rsid w:val="00566343"/>
    <w:rsid w:val="00566401"/>
    <w:rsid w:val="005667A1"/>
    <w:rsid w:val="00567970"/>
    <w:rsid w:val="005707A8"/>
    <w:rsid w:val="005711C2"/>
    <w:rsid w:val="00571D98"/>
    <w:rsid w:val="005720AE"/>
    <w:rsid w:val="005745C7"/>
    <w:rsid w:val="00574949"/>
    <w:rsid w:val="00574B04"/>
    <w:rsid w:val="00577108"/>
    <w:rsid w:val="0058030D"/>
    <w:rsid w:val="00582045"/>
    <w:rsid w:val="00582EC9"/>
    <w:rsid w:val="00583FA1"/>
    <w:rsid w:val="0058424D"/>
    <w:rsid w:val="00584E98"/>
    <w:rsid w:val="00585A43"/>
    <w:rsid w:val="005864C4"/>
    <w:rsid w:val="00586AB8"/>
    <w:rsid w:val="00587C5C"/>
    <w:rsid w:val="00590AE3"/>
    <w:rsid w:val="00590F90"/>
    <w:rsid w:val="0059115E"/>
    <w:rsid w:val="005918F1"/>
    <w:rsid w:val="00592593"/>
    <w:rsid w:val="005934C6"/>
    <w:rsid w:val="00593B65"/>
    <w:rsid w:val="00593C2C"/>
    <w:rsid w:val="00593CF3"/>
    <w:rsid w:val="00594DD5"/>
    <w:rsid w:val="005973EB"/>
    <w:rsid w:val="005A06B7"/>
    <w:rsid w:val="005A1759"/>
    <w:rsid w:val="005A2418"/>
    <w:rsid w:val="005A36FB"/>
    <w:rsid w:val="005A6625"/>
    <w:rsid w:val="005A6BF8"/>
    <w:rsid w:val="005A76B9"/>
    <w:rsid w:val="005B0186"/>
    <w:rsid w:val="005B0F89"/>
    <w:rsid w:val="005B153D"/>
    <w:rsid w:val="005B196F"/>
    <w:rsid w:val="005B21D8"/>
    <w:rsid w:val="005B2877"/>
    <w:rsid w:val="005B4BB1"/>
    <w:rsid w:val="005B5787"/>
    <w:rsid w:val="005C0AF5"/>
    <w:rsid w:val="005C28F0"/>
    <w:rsid w:val="005C2C79"/>
    <w:rsid w:val="005C7078"/>
    <w:rsid w:val="005D011E"/>
    <w:rsid w:val="005D0369"/>
    <w:rsid w:val="005D22B5"/>
    <w:rsid w:val="005D2F7C"/>
    <w:rsid w:val="005D41C1"/>
    <w:rsid w:val="005D4B87"/>
    <w:rsid w:val="005D53FE"/>
    <w:rsid w:val="005D607E"/>
    <w:rsid w:val="005D6AD7"/>
    <w:rsid w:val="005D6C01"/>
    <w:rsid w:val="005D79FB"/>
    <w:rsid w:val="005D7A0F"/>
    <w:rsid w:val="005E0438"/>
    <w:rsid w:val="005E12EA"/>
    <w:rsid w:val="005E1791"/>
    <w:rsid w:val="005E17A0"/>
    <w:rsid w:val="005E1EDD"/>
    <w:rsid w:val="005E2138"/>
    <w:rsid w:val="005E2CE6"/>
    <w:rsid w:val="005E2D3E"/>
    <w:rsid w:val="005E3079"/>
    <w:rsid w:val="005E6324"/>
    <w:rsid w:val="005E73D0"/>
    <w:rsid w:val="005F02D4"/>
    <w:rsid w:val="005F1B08"/>
    <w:rsid w:val="005F1BDA"/>
    <w:rsid w:val="005F1D76"/>
    <w:rsid w:val="005F228B"/>
    <w:rsid w:val="005F29CD"/>
    <w:rsid w:val="005F41D2"/>
    <w:rsid w:val="005F4CDA"/>
    <w:rsid w:val="005F4DFB"/>
    <w:rsid w:val="005F5711"/>
    <w:rsid w:val="005F5CEF"/>
    <w:rsid w:val="005F5DFE"/>
    <w:rsid w:val="005F61F9"/>
    <w:rsid w:val="005F6CC0"/>
    <w:rsid w:val="005F6FE0"/>
    <w:rsid w:val="005F701E"/>
    <w:rsid w:val="005F710E"/>
    <w:rsid w:val="005F7336"/>
    <w:rsid w:val="005F7BE1"/>
    <w:rsid w:val="005F7FEE"/>
    <w:rsid w:val="00600DBF"/>
    <w:rsid w:val="00600FA4"/>
    <w:rsid w:val="0060136B"/>
    <w:rsid w:val="00601B16"/>
    <w:rsid w:val="006029A3"/>
    <w:rsid w:val="00603532"/>
    <w:rsid w:val="00603E5B"/>
    <w:rsid w:val="006046BC"/>
    <w:rsid w:val="00604BC8"/>
    <w:rsid w:val="00604CEE"/>
    <w:rsid w:val="00605328"/>
    <w:rsid w:val="00605B26"/>
    <w:rsid w:val="006079D6"/>
    <w:rsid w:val="00611770"/>
    <w:rsid w:val="00611A73"/>
    <w:rsid w:val="00613041"/>
    <w:rsid w:val="00615A2D"/>
    <w:rsid w:val="00615B4C"/>
    <w:rsid w:val="00615B5D"/>
    <w:rsid w:val="00615DC9"/>
    <w:rsid w:val="00620117"/>
    <w:rsid w:val="00620295"/>
    <w:rsid w:val="006205CB"/>
    <w:rsid w:val="00620617"/>
    <w:rsid w:val="0062114C"/>
    <w:rsid w:val="0062121B"/>
    <w:rsid w:val="0062146F"/>
    <w:rsid w:val="00622BCF"/>
    <w:rsid w:val="00624589"/>
    <w:rsid w:val="00625451"/>
    <w:rsid w:val="00626BDE"/>
    <w:rsid w:val="006274AA"/>
    <w:rsid w:val="0063007D"/>
    <w:rsid w:val="00633B97"/>
    <w:rsid w:val="00633E83"/>
    <w:rsid w:val="006343AF"/>
    <w:rsid w:val="006346CC"/>
    <w:rsid w:val="00634989"/>
    <w:rsid w:val="00635EC7"/>
    <w:rsid w:val="00636095"/>
    <w:rsid w:val="0063634A"/>
    <w:rsid w:val="006403B2"/>
    <w:rsid w:val="00640E7A"/>
    <w:rsid w:val="0064209D"/>
    <w:rsid w:val="00642217"/>
    <w:rsid w:val="0064250D"/>
    <w:rsid w:val="006465A2"/>
    <w:rsid w:val="0065189C"/>
    <w:rsid w:val="006521F5"/>
    <w:rsid w:val="00652C94"/>
    <w:rsid w:val="006535EB"/>
    <w:rsid w:val="00653603"/>
    <w:rsid w:val="0065361C"/>
    <w:rsid w:val="006543C9"/>
    <w:rsid w:val="00657A71"/>
    <w:rsid w:val="00657E58"/>
    <w:rsid w:val="00660AF8"/>
    <w:rsid w:val="0066280E"/>
    <w:rsid w:val="00663016"/>
    <w:rsid w:val="00664268"/>
    <w:rsid w:val="00664BCC"/>
    <w:rsid w:val="0066746E"/>
    <w:rsid w:val="00671609"/>
    <w:rsid w:val="00673FC0"/>
    <w:rsid w:val="00674605"/>
    <w:rsid w:val="006748B8"/>
    <w:rsid w:val="006748F6"/>
    <w:rsid w:val="006761FB"/>
    <w:rsid w:val="00676A5A"/>
    <w:rsid w:val="00680090"/>
    <w:rsid w:val="0068035F"/>
    <w:rsid w:val="00681FC2"/>
    <w:rsid w:val="006822F2"/>
    <w:rsid w:val="006839FC"/>
    <w:rsid w:val="006851CA"/>
    <w:rsid w:val="0068535B"/>
    <w:rsid w:val="00685974"/>
    <w:rsid w:val="00686E8E"/>
    <w:rsid w:val="0068736E"/>
    <w:rsid w:val="00687A8D"/>
    <w:rsid w:val="00687BD8"/>
    <w:rsid w:val="0069047D"/>
    <w:rsid w:val="00691C96"/>
    <w:rsid w:val="00692133"/>
    <w:rsid w:val="0069290A"/>
    <w:rsid w:val="00693C1E"/>
    <w:rsid w:val="00694675"/>
    <w:rsid w:val="00695023"/>
    <w:rsid w:val="00696D78"/>
    <w:rsid w:val="00697032"/>
    <w:rsid w:val="006975AC"/>
    <w:rsid w:val="006A0031"/>
    <w:rsid w:val="006A0920"/>
    <w:rsid w:val="006A15FB"/>
    <w:rsid w:val="006A38DF"/>
    <w:rsid w:val="006A421E"/>
    <w:rsid w:val="006A51E9"/>
    <w:rsid w:val="006A72BF"/>
    <w:rsid w:val="006B1F6D"/>
    <w:rsid w:val="006B22A9"/>
    <w:rsid w:val="006B2701"/>
    <w:rsid w:val="006B2FE3"/>
    <w:rsid w:val="006B332A"/>
    <w:rsid w:val="006B3342"/>
    <w:rsid w:val="006B33BD"/>
    <w:rsid w:val="006B4805"/>
    <w:rsid w:val="006B51E0"/>
    <w:rsid w:val="006B529D"/>
    <w:rsid w:val="006B5511"/>
    <w:rsid w:val="006B6849"/>
    <w:rsid w:val="006C3A68"/>
    <w:rsid w:val="006C3F75"/>
    <w:rsid w:val="006C433E"/>
    <w:rsid w:val="006D05A6"/>
    <w:rsid w:val="006D170E"/>
    <w:rsid w:val="006D3834"/>
    <w:rsid w:val="006D3A1A"/>
    <w:rsid w:val="006D475B"/>
    <w:rsid w:val="006D620F"/>
    <w:rsid w:val="006D6571"/>
    <w:rsid w:val="006D7379"/>
    <w:rsid w:val="006E0197"/>
    <w:rsid w:val="006E06AF"/>
    <w:rsid w:val="006E0D0B"/>
    <w:rsid w:val="006E147C"/>
    <w:rsid w:val="006E2B77"/>
    <w:rsid w:val="006E631D"/>
    <w:rsid w:val="006E688A"/>
    <w:rsid w:val="006E6BEA"/>
    <w:rsid w:val="006E6E5A"/>
    <w:rsid w:val="006F1789"/>
    <w:rsid w:val="006F30C7"/>
    <w:rsid w:val="006F3DA0"/>
    <w:rsid w:val="006F553B"/>
    <w:rsid w:val="006F6451"/>
    <w:rsid w:val="00700AF5"/>
    <w:rsid w:val="00700E4D"/>
    <w:rsid w:val="007029F8"/>
    <w:rsid w:val="00702F04"/>
    <w:rsid w:val="00704945"/>
    <w:rsid w:val="00704ED5"/>
    <w:rsid w:val="00705108"/>
    <w:rsid w:val="007054B9"/>
    <w:rsid w:val="00706B43"/>
    <w:rsid w:val="00706C5D"/>
    <w:rsid w:val="0071038E"/>
    <w:rsid w:val="00710F07"/>
    <w:rsid w:val="00711455"/>
    <w:rsid w:val="007118E6"/>
    <w:rsid w:val="0071207A"/>
    <w:rsid w:val="00715248"/>
    <w:rsid w:val="007166C5"/>
    <w:rsid w:val="00716F06"/>
    <w:rsid w:val="00717C84"/>
    <w:rsid w:val="00722561"/>
    <w:rsid w:val="007225C9"/>
    <w:rsid w:val="00722D35"/>
    <w:rsid w:val="00724039"/>
    <w:rsid w:val="0072427B"/>
    <w:rsid w:val="0072457B"/>
    <w:rsid w:val="00724915"/>
    <w:rsid w:val="00724D3E"/>
    <w:rsid w:val="00724FDB"/>
    <w:rsid w:val="00725918"/>
    <w:rsid w:val="007259D5"/>
    <w:rsid w:val="00732FD5"/>
    <w:rsid w:val="00735CD7"/>
    <w:rsid w:val="00737027"/>
    <w:rsid w:val="007419A7"/>
    <w:rsid w:val="00742CE4"/>
    <w:rsid w:val="00745658"/>
    <w:rsid w:val="00745667"/>
    <w:rsid w:val="00745E15"/>
    <w:rsid w:val="0074774E"/>
    <w:rsid w:val="00747AC2"/>
    <w:rsid w:val="0075017C"/>
    <w:rsid w:val="00750760"/>
    <w:rsid w:val="00750B52"/>
    <w:rsid w:val="00751547"/>
    <w:rsid w:val="007516EA"/>
    <w:rsid w:val="00751C6B"/>
    <w:rsid w:val="007522A3"/>
    <w:rsid w:val="0075245A"/>
    <w:rsid w:val="00752FD9"/>
    <w:rsid w:val="007537FC"/>
    <w:rsid w:val="00754034"/>
    <w:rsid w:val="0075433C"/>
    <w:rsid w:val="00754BF1"/>
    <w:rsid w:val="00754EEE"/>
    <w:rsid w:val="00755A07"/>
    <w:rsid w:val="00755A30"/>
    <w:rsid w:val="00755E1C"/>
    <w:rsid w:val="00756556"/>
    <w:rsid w:val="0075684C"/>
    <w:rsid w:val="00756B8E"/>
    <w:rsid w:val="00760886"/>
    <w:rsid w:val="0076132B"/>
    <w:rsid w:val="0076234D"/>
    <w:rsid w:val="007623AE"/>
    <w:rsid w:val="00763290"/>
    <w:rsid w:val="00764BEA"/>
    <w:rsid w:val="00766B5E"/>
    <w:rsid w:val="00770B19"/>
    <w:rsid w:val="00770FE5"/>
    <w:rsid w:val="0077206F"/>
    <w:rsid w:val="00772284"/>
    <w:rsid w:val="0077252A"/>
    <w:rsid w:val="007727D5"/>
    <w:rsid w:val="00774FA0"/>
    <w:rsid w:val="00776620"/>
    <w:rsid w:val="00776ACC"/>
    <w:rsid w:val="007770D4"/>
    <w:rsid w:val="00777B6D"/>
    <w:rsid w:val="00780255"/>
    <w:rsid w:val="00781FD8"/>
    <w:rsid w:val="00783E01"/>
    <w:rsid w:val="0078442C"/>
    <w:rsid w:val="00784855"/>
    <w:rsid w:val="007848AE"/>
    <w:rsid w:val="00784F39"/>
    <w:rsid w:val="00784FE3"/>
    <w:rsid w:val="0078545C"/>
    <w:rsid w:val="00787940"/>
    <w:rsid w:val="007906C4"/>
    <w:rsid w:val="0079111D"/>
    <w:rsid w:val="00791875"/>
    <w:rsid w:val="007930B2"/>
    <w:rsid w:val="007938BE"/>
    <w:rsid w:val="007940EA"/>
    <w:rsid w:val="0079555D"/>
    <w:rsid w:val="007967E8"/>
    <w:rsid w:val="007A0053"/>
    <w:rsid w:val="007A01A0"/>
    <w:rsid w:val="007A16F9"/>
    <w:rsid w:val="007A28E2"/>
    <w:rsid w:val="007A33A4"/>
    <w:rsid w:val="007A414A"/>
    <w:rsid w:val="007A453B"/>
    <w:rsid w:val="007A4937"/>
    <w:rsid w:val="007A4991"/>
    <w:rsid w:val="007A63F2"/>
    <w:rsid w:val="007B0B4B"/>
    <w:rsid w:val="007B5D20"/>
    <w:rsid w:val="007B6704"/>
    <w:rsid w:val="007B68DE"/>
    <w:rsid w:val="007B7649"/>
    <w:rsid w:val="007C0434"/>
    <w:rsid w:val="007C091C"/>
    <w:rsid w:val="007C1857"/>
    <w:rsid w:val="007C39A2"/>
    <w:rsid w:val="007C442E"/>
    <w:rsid w:val="007C4466"/>
    <w:rsid w:val="007C4564"/>
    <w:rsid w:val="007C4A8D"/>
    <w:rsid w:val="007C507B"/>
    <w:rsid w:val="007C514F"/>
    <w:rsid w:val="007C629E"/>
    <w:rsid w:val="007C65E8"/>
    <w:rsid w:val="007C6EC0"/>
    <w:rsid w:val="007C7DB6"/>
    <w:rsid w:val="007D01E6"/>
    <w:rsid w:val="007D0F95"/>
    <w:rsid w:val="007D1CB9"/>
    <w:rsid w:val="007D37A8"/>
    <w:rsid w:val="007D3924"/>
    <w:rsid w:val="007D5285"/>
    <w:rsid w:val="007D5439"/>
    <w:rsid w:val="007D55CE"/>
    <w:rsid w:val="007D5942"/>
    <w:rsid w:val="007D59DD"/>
    <w:rsid w:val="007D5C44"/>
    <w:rsid w:val="007D7ECB"/>
    <w:rsid w:val="007E0191"/>
    <w:rsid w:val="007E25A1"/>
    <w:rsid w:val="007E3455"/>
    <w:rsid w:val="007E382B"/>
    <w:rsid w:val="007E3FD6"/>
    <w:rsid w:val="007E4895"/>
    <w:rsid w:val="007E4BD2"/>
    <w:rsid w:val="007E4C3E"/>
    <w:rsid w:val="007E5294"/>
    <w:rsid w:val="007E7145"/>
    <w:rsid w:val="007E7CF0"/>
    <w:rsid w:val="007E7CF4"/>
    <w:rsid w:val="007F0665"/>
    <w:rsid w:val="007F11B7"/>
    <w:rsid w:val="007F1E2D"/>
    <w:rsid w:val="007F2B2E"/>
    <w:rsid w:val="007F3916"/>
    <w:rsid w:val="007F3EE5"/>
    <w:rsid w:val="007F5E1B"/>
    <w:rsid w:val="007F5FD2"/>
    <w:rsid w:val="007F64A2"/>
    <w:rsid w:val="007F79EF"/>
    <w:rsid w:val="008004CE"/>
    <w:rsid w:val="00801179"/>
    <w:rsid w:val="00801F1E"/>
    <w:rsid w:val="00802479"/>
    <w:rsid w:val="00803A24"/>
    <w:rsid w:val="00803BA9"/>
    <w:rsid w:val="00804E2C"/>
    <w:rsid w:val="00804E88"/>
    <w:rsid w:val="00805372"/>
    <w:rsid w:val="008055A2"/>
    <w:rsid w:val="00805988"/>
    <w:rsid w:val="00805B7B"/>
    <w:rsid w:val="00807041"/>
    <w:rsid w:val="00811CA8"/>
    <w:rsid w:val="0081293E"/>
    <w:rsid w:val="00812BC1"/>
    <w:rsid w:val="00813F35"/>
    <w:rsid w:val="00814FFB"/>
    <w:rsid w:val="00820568"/>
    <w:rsid w:val="00821BFB"/>
    <w:rsid w:val="0082782F"/>
    <w:rsid w:val="00827B34"/>
    <w:rsid w:val="0083050D"/>
    <w:rsid w:val="008307A6"/>
    <w:rsid w:val="00830ECA"/>
    <w:rsid w:val="00831A80"/>
    <w:rsid w:val="008332C8"/>
    <w:rsid w:val="00833743"/>
    <w:rsid w:val="008340A4"/>
    <w:rsid w:val="0083437D"/>
    <w:rsid w:val="008364A7"/>
    <w:rsid w:val="00836746"/>
    <w:rsid w:val="00836799"/>
    <w:rsid w:val="00837028"/>
    <w:rsid w:val="00837131"/>
    <w:rsid w:val="00837377"/>
    <w:rsid w:val="008404E9"/>
    <w:rsid w:val="008407F8"/>
    <w:rsid w:val="008409B6"/>
    <w:rsid w:val="008424FD"/>
    <w:rsid w:val="00842CA9"/>
    <w:rsid w:val="00843B2D"/>
    <w:rsid w:val="00843FB2"/>
    <w:rsid w:val="008449DD"/>
    <w:rsid w:val="00844A11"/>
    <w:rsid w:val="0084558F"/>
    <w:rsid w:val="00845F57"/>
    <w:rsid w:val="00851240"/>
    <w:rsid w:val="008515BA"/>
    <w:rsid w:val="008518F5"/>
    <w:rsid w:val="008521E0"/>
    <w:rsid w:val="008525B0"/>
    <w:rsid w:val="00852947"/>
    <w:rsid w:val="00853682"/>
    <w:rsid w:val="00854239"/>
    <w:rsid w:val="00854EE3"/>
    <w:rsid w:val="00855876"/>
    <w:rsid w:val="00857272"/>
    <w:rsid w:val="00860529"/>
    <w:rsid w:val="00862E74"/>
    <w:rsid w:val="008643F1"/>
    <w:rsid w:val="008652E6"/>
    <w:rsid w:val="0086694D"/>
    <w:rsid w:val="00866AF6"/>
    <w:rsid w:val="00866C80"/>
    <w:rsid w:val="00867815"/>
    <w:rsid w:val="00867CBC"/>
    <w:rsid w:val="008742E8"/>
    <w:rsid w:val="00876C30"/>
    <w:rsid w:val="00877017"/>
    <w:rsid w:val="008773C0"/>
    <w:rsid w:val="00877896"/>
    <w:rsid w:val="00880364"/>
    <w:rsid w:val="0088256D"/>
    <w:rsid w:val="00882F32"/>
    <w:rsid w:val="00885A1B"/>
    <w:rsid w:val="00886795"/>
    <w:rsid w:val="00886C4C"/>
    <w:rsid w:val="0088711C"/>
    <w:rsid w:val="008928E4"/>
    <w:rsid w:val="00892CE0"/>
    <w:rsid w:val="00892ECF"/>
    <w:rsid w:val="00892F06"/>
    <w:rsid w:val="008936A0"/>
    <w:rsid w:val="00894285"/>
    <w:rsid w:val="008957F7"/>
    <w:rsid w:val="008961BE"/>
    <w:rsid w:val="00897059"/>
    <w:rsid w:val="008A0C80"/>
    <w:rsid w:val="008A17E9"/>
    <w:rsid w:val="008A198E"/>
    <w:rsid w:val="008A40AE"/>
    <w:rsid w:val="008A4E19"/>
    <w:rsid w:val="008A5A2E"/>
    <w:rsid w:val="008A5D1D"/>
    <w:rsid w:val="008A67C5"/>
    <w:rsid w:val="008A6F18"/>
    <w:rsid w:val="008A73B7"/>
    <w:rsid w:val="008B10AD"/>
    <w:rsid w:val="008B1AAF"/>
    <w:rsid w:val="008B22E1"/>
    <w:rsid w:val="008B33A5"/>
    <w:rsid w:val="008B3C78"/>
    <w:rsid w:val="008B4A03"/>
    <w:rsid w:val="008B4AE9"/>
    <w:rsid w:val="008B6F26"/>
    <w:rsid w:val="008C30AD"/>
    <w:rsid w:val="008C3429"/>
    <w:rsid w:val="008C4650"/>
    <w:rsid w:val="008C478E"/>
    <w:rsid w:val="008C5CF8"/>
    <w:rsid w:val="008C5E13"/>
    <w:rsid w:val="008D04F2"/>
    <w:rsid w:val="008D068E"/>
    <w:rsid w:val="008D0F7A"/>
    <w:rsid w:val="008D2B0E"/>
    <w:rsid w:val="008D533A"/>
    <w:rsid w:val="008D63BE"/>
    <w:rsid w:val="008D6A5A"/>
    <w:rsid w:val="008D6C99"/>
    <w:rsid w:val="008D737E"/>
    <w:rsid w:val="008D7909"/>
    <w:rsid w:val="008E0CFF"/>
    <w:rsid w:val="008E178B"/>
    <w:rsid w:val="008E203B"/>
    <w:rsid w:val="008E358F"/>
    <w:rsid w:val="008E4BB1"/>
    <w:rsid w:val="008E56E6"/>
    <w:rsid w:val="008E573A"/>
    <w:rsid w:val="008E58DF"/>
    <w:rsid w:val="008E5D6B"/>
    <w:rsid w:val="008E6408"/>
    <w:rsid w:val="008E689B"/>
    <w:rsid w:val="008E7425"/>
    <w:rsid w:val="008E7500"/>
    <w:rsid w:val="008E76F0"/>
    <w:rsid w:val="008E78B0"/>
    <w:rsid w:val="008F09F4"/>
    <w:rsid w:val="008F0D7C"/>
    <w:rsid w:val="008F0EE9"/>
    <w:rsid w:val="008F15FE"/>
    <w:rsid w:val="008F2A94"/>
    <w:rsid w:val="008F34EE"/>
    <w:rsid w:val="008F3EBC"/>
    <w:rsid w:val="008F5168"/>
    <w:rsid w:val="008F5187"/>
    <w:rsid w:val="008F55F7"/>
    <w:rsid w:val="008F6BA7"/>
    <w:rsid w:val="008F709C"/>
    <w:rsid w:val="008F7777"/>
    <w:rsid w:val="00902221"/>
    <w:rsid w:val="00902397"/>
    <w:rsid w:val="00902B9B"/>
    <w:rsid w:val="0090312B"/>
    <w:rsid w:val="00903DB7"/>
    <w:rsid w:val="00904961"/>
    <w:rsid w:val="0090565F"/>
    <w:rsid w:val="009058EC"/>
    <w:rsid w:val="0091008C"/>
    <w:rsid w:val="009102F2"/>
    <w:rsid w:val="00910471"/>
    <w:rsid w:val="009132D0"/>
    <w:rsid w:val="009143EE"/>
    <w:rsid w:val="0091596D"/>
    <w:rsid w:val="009171B1"/>
    <w:rsid w:val="0091736D"/>
    <w:rsid w:val="00917745"/>
    <w:rsid w:val="00920418"/>
    <w:rsid w:val="00920664"/>
    <w:rsid w:val="00920E20"/>
    <w:rsid w:val="009223D1"/>
    <w:rsid w:val="00922D1B"/>
    <w:rsid w:val="00922F41"/>
    <w:rsid w:val="00924704"/>
    <w:rsid w:val="00924783"/>
    <w:rsid w:val="00925318"/>
    <w:rsid w:val="00925818"/>
    <w:rsid w:val="00930115"/>
    <w:rsid w:val="00931001"/>
    <w:rsid w:val="00931863"/>
    <w:rsid w:val="00932AEE"/>
    <w:rsid w:val="0093310C"/>
    <w:rsid w:val="00933524"/>
    <w:rsid w:val="00936201"/>
    <w:rsid w:val="009374BF"/>
    <w:rsid w:val="00937526"/>
    <w:rsid w:val="00937FC7"/>
    <w:rsid w:val="0094278D"/>
    <w:rsid w:val="009428E3"/>
    <w:rsid w:val="00942B0B"/>
    <w:rsid w:val="00943BC7"/>
    <w:rsid w:val="0094407B"/>
    <w:rsid w:val="0094569D"/>
    <w:rsid w:val="009457D7"/>
    <w:rsid w:val="00946597"/>
    <w:rsid w:val="0094697C"/>
    <w:rsid w:val="0094774B"/>
    <w:rsid w:val="009477A2"/>
    <w:rsid w:val="0095308A"/>
    <w:rsid w:val="00955AEE"/>
    <w:rsid w:val="00956F14"/>
    <w:rsid w:val="00956F75"/>
    <w:rsid w:val="00961A51"/>
    <w:rsid w:val="009620FD"/>
    <w:rsid w:val="0096247A"/>
    <w:rsid w:val="0096394D"/>
    <w:rsid w:val="00963A1E"/>
    <w:rsid w:val="009641A5"/>
    <w:rsid w:val="00965483"/>
    <w:rsid w:val="00965F4B"/>
    <w:rsid w:val="0096612E"/>
    <w:rsid w:val="009661AD"/>
    <w:rsid w:val="00966962"/>
    <w:rsid w:val="00966C43"/>
    <w:rsid w:val="00967CDF"/>
    <w:rsid w:val="00970F8A"/>
    <w:rsid w:val="0097128E"/>
    <w:rsid w:val="00971B27"/>
    <w:rsid w:val="00971FB5"/>
    <w:rsid w:val="0097222F"/>
    <w:rsid w:val="00972273"/>
    <w:rsid w:val="00972D08"/>
    <w:rsid w:val="00972D2A"/>
    <w:rsid w:val="00972E60"/>
    <w:rsid w:val="009740D5"/>
    <w:rsid w:val="00975CC5"/>
    <w:rsid w:val="00975D51"/>
    <w:rsid w:val="00976328"/>
    <w:rsid w:val="00976B4E"/>
    <w:rsid w:val="00977AA3"/>
    <w:rsid w:val="0098307C"/>
    <w:rsid w:val="00983FF3"/>
    <w:rsid w:val="00984458"/>
    <w:rsid w:val="00984DE7"/>
    <w:rsid w:val="00985283"/>
    <w:rsid w:val="0098534D"/>
    <w:rsid w:val="0098570C"/>
    <w:rsid w:val="00987322"/>
    <w:rsid w:val="0098780C"/>
    <w:rsid w:val="00991592"/>
    <w:rsid w:val="00992B0C"/>
    <w:rsid w:val="009934CA"/>
    <w:rsid w:val="009937BD"/>
    <w:rsid w:val="00995858"/>
    <w:rsid w:val="009970B3"/>
    <w:rsid w:val="00997228"/>
    <w:rsid w:val="00997B56"/>
    <w:rsid w:val="00997D30"/>
    <w:rsid w:val="009A017C"/>
    <w:rsid w:val="009A0F3B"/>
    <w:rsid w:val="009A1042"/>
    <w:rsid w:val="009A3612"/>
    <w:rsid w:val="009A369F"/>
    <w:rsid w:val="009A3E21"/>
    <w:rsid w:val="009A5B19"/>
    <w:rsid w:val="009A5CB1"/>
    <w:rsid w:val="009A6855"/>
    <w:rsid w:val="009A6B35"/>
    <w:rsid w:val="009A72C7"/>
    <w:rsid w:val="009A7D30"/>
    <w:rsid w:val="009B0897"/>
    <w:rsid w:val="009B0DE6"/>
    <w:rsid w:val="009B35F3"/>
    <w:rsid w:val="009B3656"/>
    <w:rsid w:val="009B4CA7"/>
    <w:rsid w:val="009B7BCF"/>
    <w:rsid w:val="009C0224"/>
    <w:rsid w:val="009C1C6E"/>
    <w:rsid w:val="009C2A2F"/>
    <w:rsid w:val="009C4086"/>
    <w:rsid w:val="009C446C"/>
    <w:rsid w:val="009C52E5"/>
    <w:rsid w:val="009C5BFD"/>
    <w:rsid w:val="009C7FF8"/>
    <w:rsid w:val="009D0180"/>
    <w:rsid w:val="009D0852"/>
    <w:rsid w:val="009D1FBF"/>
    <w:rsid w:val="009D46AF"/>
    <w:rsid w:val="009D5D1F"/>
    <w:rsid w:val="009D61FC"/>
    <w:rsid w:val="009E1FB8"/>
    <w:rsid w:val="009E399C"/>
    <w:rsid w:val="009E43C1"/>
    <w:rsid w:val="009E4748"/>
    <w:rsid w:val="009E4E3D"/>
    <w:rsid w:val="009E5010"/>
    <w:rsid w:val="009E651D"/>
    <w:rsid w:val="009E74B6"/>
    <w:rsid w:val="009E7E95"/>
    <w:rsid w:val="009F0E30"/>
    <w:rsid w:val="009F116F"/>
    <w:rsid w:val="009F184C"/>
    <w:rsid w:val="009F19C6"/>
    <w:rsid w:val="009F1AA6"/>
    <w:rsid w:val="009F3289"/>
    <w:rsid w:val="009F329E"/>
    <w:rsid w:val="009F43EE"/>
    <w:rsid w:val="009F511F"/>
    <w:rsid w:val="009F53FD"/>
    <w:rsid w:val="009F6A96"/>
    <w:rsid w:val="009F7AE8"/>
    <w:rsid w:val="009F7ED3"/>
    <w:rsid w:val="00A003D4"/>
    <w:rsid w:val="00A00DC6"/>
    <w:rsid w:val="00A0182D"/>
    <w:rsid w:val="00A0213A"/>
    <w:rsid w:val="00A02501"/>
    <w:rsid w:val="00A03607"/>
    <w:rsid w:val="00A047FF"/>
    <w:rsid w:val="00A04FEF"/>
    <w:rsid w:val="00A053E6"/>
    <w:rsid w:val="00A1002C"/>
    <w:rsid w:val="00A11B8E"/>
    <w:rsid w:val="00A122CD"/>
    <w:rsid w:val="00A12A32"/>
    <w:rsid w:val="00A130F9"/>
    <w:rsid w:val="00A13A77"/>
    <w:rsid w:val="00A14248"/>
    <w:rsid w:val="00A14281"/>
    <w:rsid w:val="00A14947"/>
    <w:rsid w:val="00A161BA"/>
    <w:rsid w:val="00A16CDC"/>
    <w:rsid w:val="00A17B92"/>
    <w:rsid w:val="00A215F6"/>
    <w:rsid w:val="00A21F20"/>
    <w:rsid w:val="00A23DC5"/>
    <w:rsid w:val="00A23EE6"/>
    <w:rsid w:val="00A26D1A"/>
    <w:rsid w:val="00A27D80"/>
    <w:rsid w:val="00A3022B"/>
    <w:rsid w:val="00A3087B"/>
    <w:rsid w:val="00A3232E"/>
    <w:rsid w:val="00A33045"/>
    <w:rsid w:val="00A33672"/>
    <w:rsid w:val="00A33E5B"/>
    <w:rsid w:val="00A34028"/>
    <w:rsid w:val="00A35568"/>
    <w:rsid w:val="00A37056"/>
    <w:rsid w:val="00A3754B"/>
    <w:rsid w:val="00A419C5"/>
    <w:rsid w:val="00A424AC"/>
    <w:rsid w:val="00A42F21"/>
    <w:rsid w:val="00A4358F"/>
    <w:rsid w:val="00A43762"/>
    <w:rsid w:val="00A4642F"/>
    <w:rsid w:val="00A46F67"/>
    <w:rsid w:val="00A47099"/>
    <w:rsid w:val="00A47B69"/>
    <w:rsid w:val="00A50300"/>
    <w:rsid w:val="00A54AA1"/>
    <w:rsid w:val="00A551C6"/>
    <w:rsid w:val="00A55A0B"/>
    <w:rsid w:val="00A568E8"/>
    <w:rsid w:val="00A568FF"/>
    <w:rsid w:val="00A57A18"/>
    <w:rsid w:val="00A60B16"/>
    <w:rsid w:val="00A61496"/>
    <w:rsid w:val="00A61833"/>
    <w:rsid w:val="00A61BBE"/>
    <w:rsid w:val="00A624C6"/>
    <w:rsid w:val="00A6257A"/>
    <w:rsid w:val="00A62842"/>
    <w:rsid w:val="00A62ED9"/>
    <w:rsid w:val="00A62EF9"/>
    <w:rsid w:val="00A63CEC"/>
    <w:rsid w:val="00A63DA9"/>
    <w:rsid w:val="00A63DAE"/>
    <w:rsid w:val="00A640AB"/>
    <w:rsid w:val="00A64A09"/>
    <w:rsid w:val="00A65A49"/>
    <w:rsid w:val="00A66C32"/>
    <w:rsid w:val="00A67C83"/>
    <w:rsid w:val="00A7031E"/>
    <w:rsid w:val="00A704CB"/>
    <w:rsid w:val="00A728B1"/>
    <w:rsid w:val="00A73907"/>
    <w:rsid w:val="00A739B7"/>
    <w:rsid w:val="00A73B68"/>
    <w:rsid w:val="00A741D2"/>
    <w:rsid w:val="00A745E9"/>
    <w:rsid w:val="00A75192"/>
    <w:rsid w:val="00A75982"/>
    <w:rsid w:val="00A763DE"/>
    <w:rsid w:val="00A8010B"/>
    <w:rsid w:val="00A803D6"/>
    <w:rsid w:val="00A8096B"/>
    <w:rsid w:val="00A80E0A"/>
    <w:rsid w:val="00A8117E"/>
    <w:rsid w:val="00A8126A"/>
    <w:rsid w:val="00A81282"/>
    <w:rsid w:val="00A82544"/>
    <w:rsid w:val="00A82C61"/>
    <w:rsid w:val="00A84370"/>
    <w:rsid w:val="00A8657F"/>
    <w:rsid w:val="00A865DA"/>
    <w:rsid w:val="00A8713F"/>
    <w:rsid w:val="00A87A43"/>
    <w:rsid w:val="00A87CB8"/>
    <w:rsid w:val="00A909FF"/>
    <w:rsid w:val="00A91167"/>
    <w:rsid w:val="00A9171C"/>
    <w:rsid w:val="00A92925"/>
    <w:rsid w:val="00A92FFD"/>
    <w:rsid w:val="00A93118"/>
    <w:rsid w:val="00A95975"/>
    <w:rsid w:val="00A9661A"/>
    <w:rsid w:val="00A9708D"/>
    <w:rsid w:val="00A97244"/>
    <w:rsid w:val="00AA027A"/>
    <w:rsid w:val="00AA07EC"/>
    <w:rsid w:val="00AA14FA"/>
    <w:rsid w:val="00AA2C17"/>
    <w:rsid w:val="00AA30C9"/>
    <w:rsid w:val="00AA3721"/>
    <w:rsid w:val="00AA4172"/>
    <w:rsid w:val="00AA492C"/>
    <w:rsid w:val="00AA4CD6"/>
    <w:rsid w:val="00AA55C7"/>
    <w:rsid w:val="00AA6AD1"/>
    <w:rsid w:val="00AA7DA8"/>
    <w:rsid w:val="00AB06E3"/>
    <w:rsid w:val="00AB14B8"/>
    <w:rsid w:val="00AB1914"/>
    <w:rsid w:val="00AB314D"/>
    <w:rsid w:val="00AB40B1"/>
    <w:rsid w:val="00AB4207"/>
    <w:rsid w:val="00AB5330"/>
    <w:rsid w:val="00AB53C9"/>
    <w:rsid w:val="00AB5D4F"/>
    <w:rsid w:val="00AB6ABC"/>
    <w:rsid w:val="00AB7747"/>
    <w:rsid w:val="00AB7C76"/>
    <w:rsid w:val="00AC0F3B"/>
    <w:rsid w:val="00AC138F"/>
    <w:rsid w:val="00AC2532"/>
    <w:rsid w:val="00AC542D"/>
    <w:rsid w:val="00AC7EAD"/>
    <w:rsid w:val="00AD1507"/>
    <w:rsid w:val="00AD197A"/>
    <w:rsid w:val="00AD287A"/>
    <w:rsid w:val="00AD2CCB"/>
    <w:rsid w:val="00AD4B2B"/>
    <w:rsid w:val="00AD5A70"/>
    <w:rsid w:val="00AD6629"/>
    <w:rsid w:val="00AD6CDB"/>
    <w:rsid w:val="00AD738B"/>
    <w:rsid w:val="00AD796C"/>
    <w:rsid w:val="00AE1BF4"/>
    <w:rsid w:val="00AE38EA"/>
    <w:rsid w:val="00AE3EBC"/>
    <w:rsid w:val="00AE4C4F"/>
    <w:rsid w:val="00AE5D97"/>
    <w:rsid w:val="00AE6794"/>
    <w:rsid w:val="00AE6B89"/>
    <w:rsid w:val="00AE6E60"/>
    <w:rsid w:val="00AF0523"/>
    <w:rsid w:val="00AF0818"/>
    <w:rsid w:val="00AF15F7"/>
    <w:rsid w:val="00AF1982"/>
    <w:rsid w:val="00AF37C5"/>
    <w:rsid w:val="00AF3DCA"/>
    <w:rsid w:val="00AF411A"/>
    <w:rsid w:val="00AF57ED"/>
    <w:rsid w:val="00AF6466"/>
    <w:rsid w:val="00AF68DA"/>
    <w:rsid w:val="00AF6CC6"/>
    <w:rsid w:val="00B01110"/>
    <w:rsid w:val="00B019D8"/>
    <w:rsid w:val="00B01A4A"/>
    <w:rsid w:val="00B01FF5"/>
    <w:rsid w:val="00B02199"/>
    <w:rsid w:val="00B02262"/>
    <w:rsid w:val="00B02DB7"/>
    <w:rsid w:val="00B03981"/>
    <w:rsid w:val="00B03CEC"/>
    <w:rsid w:val="00B04CD5"/>
    <w:rsid w:val="00B0665A"/>
    <w:rsid w:val="00B07618"/>
    <w:rsid w:val="00B0793E"/>
    <w:rsid w:val="00B07EE0"/>
    <w:rsid w:val="00B11981"/>
    <w:rsid w:val="00B1209F"/>
    <w:rsid w:val="00B12A94"/>
    <w:rsid w:val="00B12AD0"/>
    <w:rsid w:val="00B1315F"/>
    <w:rsid w:val="00B1353F"/>
    <w:rsid w:val="00B138FA"/>
    <w:rsid w:val="00B1488E"/>
    <w:rsid w:val="00B1489F"/>
    <w:rsid w:val="00B165B9"/>
    <w:rsid w:val="00B16F06"/>
    <w:rsid w:val="00B223B1"/>
    <w:rsid w:val="00B224FA"/>
    <w:rsid w:val="00B2353B"/>
    <w:rsid w:val="00B23992"/>
    <w:rsid w:val="00B24DA2"/>
    <w:rsid w:val="00B24F30"/>
    <w:rsid w:val="00B25273"/>
    <w:rsid w:val="00B25937"/>
    <w:rsid w:val="00B26F93"/>
    <w:rsid w:val="00B27C52"/>
    <w:rsid w:val="00B31236"/>
    <w:rsid w:val="00B31ABF"/>
    <w:rsid w:val="00B31B88"/>
    <w:rsid w:val="00B335AE"/>
    <w:rsid w:val="00B363DE"/>
    <w:rsid w:val="00B37094"/>
    <w:rsid w:val="00B37562"/>
    <w:rsid w:val="00B3773E"/>
    <w:rsid w:val="00B37CE1"/>
    <w:rsid w:val="00B40ACF"/>
    <w:rsid w:val="00B41896"/>
    <w:rsid w:val="00B423FF"/>
    <w:rsid w:val="00B42896"/>
    <w:rsid w:val="00B42938"/>
    <w:rsid w:val="00B431D1"/>
    <w:rsid w:val="00B43F38"/>
    <w:rsid w:val="00B44150"/>
    <w:rsid w:val="00B444A9"/>
    <w:rsid w:val="00B44EC2"/>
    <w:rsid w:val="00B464F0"/>
    <w:rsid w:val="00B46BAA"/>
    <w:rsid w:val="00B50B5F"/>
    <w:rsid w:val="00B511FF"/>
    <w:rsid w:val="00B51822"/>
    <w:rsid w:val="00B51924"/>
    <w:rsid w:val="00B52BC9"/>
    <w:rsid w:val="00B54128"/>
    <w:rsid w:val="00B54372"/>
    <w:rsid w:val="00B55826"/>
    <w:rsid w:val="00B5671E"/>
    <w:rsid w:val="00B56C08"/>
    <w:rsid w:val="00B60426"/>
    <w:rsid w:val="00B60557"/>
    <w:rsid w:val="00B622DD"/>
    <w:rsid w:val="00B62E49"/>
    <w:rsid w:val="00B63522"/>
    <w:rsid w:val="00B63F51"/>
    <w:rsid w:val="00B66B00"/>
    <w:rsid w:val="00B67CE0"/>
    <w:rsid w:val="00B70B26"/>
    <w:rsid w:val="00B71A1F"/>
    <w:rsid w:val="00B71DCE"/>
    <w:rsid w:val="00B72577"/>
    <w:rsid w:val="00B72D7D"/>
    <w:rsid w:val="00B74514"/>
    <w:rsid w:val="00B74BA1"/>
    <w:rsid w:val="00B7541D"/>
    <w:rsid w:val="00B76F1D"/>
    <w:rsid w:val="00B77AF2"/>
    <w:rsid w:val="00B82552"/>
    <w:rsid w:val="00B82DAD"/>
    <w:rsid w:val="00B83C7D"/>
    <w:rsid w:val="00B85D48"/>
    <w:rsid w:val="00B85D71"/>
    <w:rsid w:val="00B85DD2"/>
    <w:rsid w:val="00B86AAB"/>
    <w:rsid w:val="00B86D7D"/>
    <w:rsid w:val="00B86F21"/>
    <w:rsid w:val="00B92A19"/>
    <w:rsid w:val="00B93617"/>
    <w:rsid w:val="00B93CE5"/>
    <w:rsid w:val="00B94638"/>
    <w:rsid w:val="00B9544C"/>
    <w:rsid w:val="00B96098"/>
    <w:rsid w:val="00B96C05"/>
    <w:rsid w:val="00B97B66"/>
    <w:rsid w:val="00BA2035"/>
    <w:rsid w:val="00BA29E9"/>
    <w:rsid w:val="00BA4A78"/>
    <w:rsid w:val="00BB011D"/>
    <w:rsid w:val="00BB10D3"/>
    <w:rsid w:val="00BB16EF"/>
    <w:rsid w:val="00BB3618"/>
    <w:rsid w:val="00BB489D"/>
    <w:rsid w:val="00BB64E9"/>
    <w:rsid w:val="00BB7999"/>
    <w:rsid w:val="00BB7C26"/>
    <w:rsid w:val="00BC0C9E"/>
    <w:rsid w:val="00BC111A"/>
    <w:rsid w:val="00BC1FEC"/>
    <w:rsid w:val="00BC21DA"/>
    <w:rsid w:val="00BC32DC"/>
    <w:rsid w:val="00BC3A1F"/>
    <w:rsid w:val="00BC423D"/>
    <w:rsid w:val="00BC457F"/>
    <w:rsid w:val="00BC46FC"/>
    <w:rsid w:val="00BC4773"/>
    <w:rsid w:val="00BC48A0"/>
    <w:rsid w:val="00BC598F"/>
    <w:rsid w:val="00BD0412"/>
    <w:rsid w:val="00BD0CCE"/>
    <w:rsid w:val="00BD1658"/>
    <w:rsid w:val="00BD1B51"/>
    <w:rsid w:val="00BD21D8"/>
    <w:rsid w:val="00BD3C3A"/>
    <w:rsid w:val="00BD47F6"/>
    <w:rsid w:val="00BD4A19"/>
    <w:rsid w:val="00BD5020"/>
    <w:rsid w:val="00BD7A88"/>
    <w:rsid w:val="00BE0DA4"/>
    <w:rsid w:val="00BE1DE4"/>
    <w:rsid w:val="00BE30A6"/>
    <w:rsid w:val="00BE30CB"/>
    <w:rsid w:val="00BE312D"/>
    <w:rsid w:val="00BE3C24"/>
    <w:rsid w:val="00BE3FCA"/>
    <w:rsid w:val="00BE451A"/>
    <w:rsid w:val="00BE5758"/>
    <w:rsid w:val="00BE57F4"/>
    <w:rsid w:val="00BE5FDF"/>
    <w:rsid w:val="00BE74D2"/>
    <w:rsid w:val="00BF00DA"/>
    <w:rsid w:val="00BF0B68"/>
    <w:rsid w:val="00BF0C1B"/>
    <w:rsid w:val="00BF0FC4"/>
    <w:rsid w:val="00BF1140"/>
    <w:rsid w:val="00BF1D0A"/>
    <w:rsid w:val="00BF221F"/>
    <w:rsid w:val="00BF46BE"/>
    <w:rsid w:val="00BF6645"/>
    <w:rsid w:val="00BF6835"/>
    <w:rsid w:val="00C00351"/>
    <w:rsid w:val="00C00AB8"/>
    <w:rsid w:val="00C01B6E"/>
    <w:rsid w:val="00C01BD4"/>
    <w:rsid w:val="00C01E1E"/>
    <w:rsid w:val="00C02434"/>
    <w:rsid w:val="00C03CE4"/>
    <w:rsid w:val="00C053AC"/>
    <w:rsid w:val="00C05719"/>
    <w:rsid w:val="00C05A91"/>
    <w:rsid w:val="00C10578"/>
    <w:rsid w:val="00C12E2A"/>
    <w:rsid w:val="00C137FF"/>
    <w:rsid w:val="00C1418F"/>
    <w:rsid w:val="00C14A36"/>
    <w:rsid w:val="00C1620B"/>
    <w:rsid w:val="00C165C4"/>
    <w:rsid w:val="00C17D62"/>
    <w:rsid w:val="00C211E9"/>
    <w:rsid w:val="00C21FDC"/>
    <w:rsid w:val="00C224AB"/>
    <w:rsid w:val="00C247D9"/>
    <w:rsid w:val="00C24EE7"/>
    <w:rsid w:val="00C257A8"/>
    <w:rsid w:val="00C2596A"/>
    <w:rsid w:val="00C271BE"/>
    <w:rsid w:val="00C27425"/>
    <w:rsid w:val="00C31100"/>
    <w:rsid w:val="00C3156D"/>
    <w:rsid w:val="00C31A87"/>
    <w:rsid w:val="00C328FE"/>
    <w:rsid w:val="00C33A05"/>
    <w:rsid w:val="00C33FE2"/>
    <w:rsid w:val="00C34009"/>
    <w:rsid w:val="00C34163"/>
    <w:rsid w:val="00C3459D"/>
    <w:rsid w:val="00C36571"/>
    <w:rsid w:val="00C36760"/>
    <w:rsid w:val="00C37A62"/>
    <w:rsid w:val="00C40384"/>
    <w:rsid w:val="00C416EB"/>
    <w:rsid w:val="00C42500"/>
    <w:rsid w:val="00C4409D"/>
    <w:rsid w:val="00C443E0"/>
    <w:rsid w:val="00C455BE"/>
    <w:rsid w:val="00C460BA"/>
    <w:rsid w:val="00C46299"/>
    <w:rsid w:val="00C46D1E"/>
    <w:rsid w:val="00C46E28"/>
    <w:rsid w:val="00C46F3D"/>
    <w:rsid w:val="00C474B2"/>
    <w:rsid w:val="00C47D68"/>
    <w:rsid w:val="00C50609"/>
    <w:rsid w:val="00C50FC4"/>
    <w:rsid w:val="00C51E5F"/>
    <w:rsid w:val="00C530F4"/>
    <w:rsid w:val="00C54FC2"/>
    <w:rsid w:val="00C557DC"/>
    <w:rsid w:val="00C55992"/>
    <w:rsid w:val="00C567B5"/>
    <w:rsid w:val="00C5786E"/>
    <w:rsid w:val="00C57C84"/>
    <w:rsid w:val="00C61E4B"/>
    <w:rsid w:val="00C62E3A"/>
    <w:rsid w:val="00C64503"/>
    <w:rsid w:val="00C645FB"/>
    <w:rsid w:val="00C64A1F"/>
    <w:rsid w:val="00C64BFF"/>
    <w:rsid w:val="00C65871"/>
    <w:rsid w:val="00C6595E"/>
    <w:rsid w:val="00C65AB2"/>
    <w:rsid w:val="00C65C6E"/>
    <w:rsid w:val="00C6636C"/>
    <w:rsid w:val="00C673E9"/>
    <w:rsid w:val="00C6749F"/>
    <w:rsid w:val="00C72B07"/>
    <w:rsid w:val="00C72BAC"/>
    <w:rsid w:val="00C74845"/>
    <w:rsid w:val="00C753C8"/>
    <w:rsid w:val="00C75B9E"/>
    <w:rsid w:val="00C75D8A"/>
    <w:rsid w:val="00C763C9"/>
    <w:rsid w:val="00C768CB"/>
    <w:rsid w:val="00C76A69"/>
    <w:rsid w:val="00C773F8"/>
    <w:rsid w:val="00C80057"/>
    <w:rsid w:val="00C80D4E"/>
    <w:rsid w:val="00C8155F"/>
    <w:rsid w:val="00C823FD"/>
    <w:rsid w:val="00C82C79"/>
    <w:rsid w:val="00C84753"/>
    <w:rsid w:val="00C84BE7"/>
    <w:rsid w:val="00C854D2"/>
    <w:rsid w:val="00C8587C"/>
    <w:rsid w:val="00C85A65"/>
    <w:rsid w:val="00C91611"/>
    <w:rsid w:val="00C92B0D"/>
    <w:rsid w:val="00C93CC2"/>
    <w:rsid w:val="00C97E4E"/>
    <w:rsid w:val="00CA0D53"/>
    <w:rsid w:val="00CA106D"/>
    <w:rsid w:val="00CA3585"/>
    <w:rsid w:val="00CA3741"/>
    <w:rsid w:val="00CA3D2D"/>
    <w:rsid w:val="00CA3D5A"/>
    <w:rsid w:val="00CA3DE3"/>
    <w:rsid w:val="00CA4BF1"/>
    <w:rsid w:val="00CA4C7C"/>
    <w:rsid w:val="00CA5EBB"/>
    <w:rsid w:val="00CA7572"/>
    <w:rsid w:val="00CB0183"/>
    <w:rsid w:val="00CB1607"/>
    <w:rsid w:val="00CB1AB1"/>
    <w:rsid w:val="00CB1EA3"/>
    <w:rsid w:val="00CB2392"/>
    <w:rsid w:val="00CB24FC"/>
    <w:rsid w:val="00CB552C"/>
    <w:rsid w:val="00CB573C"/>
    <w:rsid w:val="00CB5851"/>
    <w:rsid w:val="00CB6A9E"/>
    <w:rsid w:val="00CC2F35"/>
    <w:rsid w:val="00CC5117"/>
    <w:rsid w:val="00CC5271"/>
    <w:rsid w:val="00CC607D"/>
    <w:rsid w:val="00CC6181"/>
    <w:rsid w:val="00CC7808"/>
    <w:rsid w:val="00CD03F1"/>
    <w:rsid w:val="00CD29FD"/>
    <w:rsid w:val="00CD2BCD"/>
    <w:rsid w:val="00CD36AA"/>
    <w:rsid w:val="00CD3791"/>
    <w:rsid w:val="00CD47B6"/>
    <w:rsid w:val="00CD576C"/>
    <w:rsid w:val="00CD64DC"/>
    <w:rsid w:val="00CD65B0"/>
    <w:rsid w:val="00CD7C21"/>
    <w:rsid w:val="00CD7D1A"/>
    <w:rsid w:val="00CE02CD"/>
    <w:rsid w:val="00CE0C48"/>
    <w:rsid w:val="00CE10E9"/>
    <w:rsid w:val="00CE2187"/>
    <w:rsid w:val="00CE25C7"/>
    <w:rsid w:val="00CE32C6"/>
    <w:rsid w:val="00CE458F"/>
    <w:rsid w:val="00CE5566"/>
    <w:rsid w:val="00CE5913"/>
    <w:rsid w:val="00CE5A5D"/>
    <w:rsid w:val="00CE6412"/>
    <w:rsid w:val="00CE6764"/>
    <w:rsid w:val="00CE6C83"/>
    <w:rsid w:val="00CE6CAD"/>
    <w:rsid w:val="00CF0A4B"/>
    <w:rsid w:val="00CF4723"/>
    <w:rsid w:val="00CF56B5"/>
    <w:rsid w:val="00CF5969"/>
    <w:rsid w:val="00D0072E"/>
    <w:rsid w:val="00D032DC"/>
    <w:rsid w:val="00D03FB3"/>
    <w:rsid w:val="00D04559"/>
    <w:rsid w:val="00D04EAD"/>
    <w:rsid w:val="00D05091"/>
    <w:rsid w:val="00D05A51"/>
    <w:rsid w:val="00D067E2"/>
    <w:rsid w:val="00D0709C"/>
    <w:rsid w:val="00D106F9"/>
    <w:rsid w:val="00D12345"/>
    <w:rsid w:val="00D128F0"/>
    <w:rsid w:val="00D13812"/>
    <w:rsid w:val="00D13DCC"/>
    <w:rsid w:val="00D14264"/>
    <w:rsid w:val="00D15727"/>
    <w:rsid w:val="00D15F09"/>
    <w:rsid w:val="00D16332"/>
    <w:rsid w:val="00D16727"/>
    <w:rsid w:val="00D17B60"/>
    <w:rsid w:val="00D2029C"/>
    <w:rsid w:val="00D20CF3"/>
    <w:rsid w:val="00D24972"/>
    <w:rsid w:val="00D2515E"/>
    <w:rsid w:val="00D26BF7"/>
    <w:rsid w:val="00D27B0F"/>
    <w:rsid w:val="00D308ED"/>
    <w:rsid w:val="00D31337"/>
    <w:rsid w:val="00D31B29"/>
    <w:rsid w:val="00D32CA0"/>
    <w:rsid w:val="00D35262"/>
    <w:rsid w:val="00D35B93"/>
    <w:rsid w:val="00D36D6D"/>
    <w:rsid w:val="00D40D74"/>
    <w:rsid w:val="00D419D3"/>
    <w:rsid w:val="00D41BDF"/>
    <w:rsid w:val="00D426F6"/>
    <w:rsid w:val="00D42B50"/>
    <w:rsid w:val="00D468E6"/>
    <w:rsid w:val="00D46FD1"/>
    <w:rsid w:val="00D4735F"/>
    <w:rsid w:val="00D508D6"/>
    <w:rsid w:val="00D50F87"/>
    <w:rsid w:val="00D5334C"/>
    <w:rsid w:val="00D56178"/>
    <w:rsid w:val="00D56CF0"/>
    <w:rsid w:val="00D56F5C"/>
    <w:rsid w:val="00D5704A"/>
    <w:rsid w:val="00D57932"/>
    <w:rsid w:val="00D6137B"/>
    <w:rsid w:val="00D615FD"/>
    <w:rsid w:val="00D62880"/>
    <w:rsid w:val="00D62E02"/>
    <w:rsid w:val="00D66087"/>
    <w:rsid w:val="00D6646A"/>
    <w:rsid w:val="00D6780D"/>
    <w:rsid w:val="00D67AF0"/>
    <w:rsid w:val="00D704B1"/>
    <w:rsid w:val="00D708B2"/>
    <w:rsid w:val="00D7093D"/>
    <w:rsid w:val="00D70B63"/>
    <w:rsid w:val="00D71C12"/>
    <w:rsid w:val="00D727EC"/>
    <w:rsid w:val="00D728A8"/>
    <w:rsid w:val="00D72914"/>
    <w:rsid w:val="00D72B92"/>
    <w:rsid w:val="00D72ED4"/>
    <w:rsid w:val="00D73C31"/>
    <w:rsid w:val="00D73F61"/>
    <w:rsid w:val="00D746BC"/>
    <w:rsid w:val="00D754C0"/>
    <w:rsid w:val="00D776A2"/>
    <w:rsid w:val="00D801C4"/>
    <w:rsid w:val="00D802B4"/>
    <w:rsid w:val="00D818FB"/>
    <w:rsid w:val="00D83AC3"/>
    <w:rsid w:val="00D83DEC"/>
    <w:rsid w:val="00D84C73"/>
    <w:rsid w:val="00D854D2"/>
    <w:rsid w:val="00D8623F"/>
    <w:rsid w:val="00D86C79"/>
    <w:rsid w:val="00D878BC"/>
    <w:rsid w:val="00D901CC"/>
    <w:rsid w:val="00D90836"/>
    <w:rsid w:val="00D91363"/>
    <w:rsid w:val="00D935D5"/>
    <w:rsid w:val="00D9490D"/>
    <w:rsid w:val="00D94F64"/>
    <w:rsid w:val="00D95896"/>
    <w:rsid w:val="00D95CC6"/>
    <w:rsid w:val="00D96162"/>
    <w:rsid w:val="00D96551"/>
    <w:rsid w:val="00DA0D2D"/>
    <w:rsid w:val="00DA235D"/>
    <w:rsid w:val="00DA2B74"/>
    <w:rsid w:val="00DA2DA3"/>
    <w:rsid w:val="00DA4A78"/>
    <w:rsid w:val="00DA5C10"/>
    <w:rsid w:val="00DA63C4"/>
    <w:rsid w:val="00DA6615"/>
    <w:rsid w:val="00DA76AE"/>
    <w:rsid w:val="00DA7A2E"/>
    <w:rsid w:val="00DB181E"/>
    <w:rsid w:val="00DB1C7A"/>
    <w:rsid w:val="00DB24DA"/>
    <w:rsid w:val="00DB2983"/>
    <w:rsid w:val="00DB2AA6"/>
    <w:rsid w:val="00DB343D"/>
    <w:rsid w:val="00DB35F7"/>
    <w:rsid w:val="00DB3861"/>
    <w:rsid w:val="00DB471F"/>
    <w:rsid w:val="00DB5579"/>
    <w:rsid w:val="00DB5CFE"/>
    <w:rsid w:val="00DB686A"/>
    <w:rsid w:val="00DB7EE8"/>
    <w:rsid w:val="00DC17CC"/>
    <w:rsid w:val="00DC20BD"/>
    <w:rsid w:val="00DC2668"/>
    <w:rsid w:val="00DC34C6"/>
    <w:rsid w:val="00DC3F1D"/>
    <w:rsid w:val="00DC6488"/>
    <w:rsid w:val="00DC6603"/>
    <w:rsid w:val="00DC72A6"/>
    <w:rsid w:val="00DC7857"/>
    <w:rsid w:val="00DC7891"/>
    <w:rsid w:val="00DD07AE"/>
    <w:rsid w:val="00DD0AB9"/>
    <w:rsid w:val="00DD0C05"/>
    <w:rsid w:val="00DD0FA8"/>
    <w:rsid w:val="00DD2113"/>
    <w:rsid w:val="00DD265E"/>
    <w:rsid w:val="00DD304B"/>
    <w:rsid w:val="00DD3CEF"/>
    <w:rsid w:val="00DD40D5"/>
    <w:rsid w:val="00DD5085"/>
    <w:rsid w:val="00DD51B2"/>
    <w:rsid w:val="00DD5704"/>
    <w:rsid w:val="00DE0E26"/>
    <w:rsid w:val="00DE223C"/>
    <w:rsid w:val="00DE2E85"/>
    <w:rsid w:val="00DE4624"/>
    <w:rsid w:val="00DE50F6"/>
    <w:rsid w:val="00DE638E"/>
    <w:rsid w:val="00DE6E4D"/>
    <w:rsid w:val="00DE768C"/>
    <w:rsid w:val="00DE77B6"/>
    <w:rsid w:val="00DF15EB"/>
    <w:rsid w:val="00DF1930"/>
    <w:rsid w:val="00DF31D4"/>
    <w:rsid w:val="00DF514A"/>
    <w:rsid w:val="00DF65EA"/>
    <w:rsid w:val="00DF69EF"/>
    <w:rsid w:val="00DF6C51"/>
    <w:rsid w:val="00E027EE"/>
    <w:rsid w:val="00E02BAB"/>
    <w:rsid w:val="00E0358D"/>
    <w:rsid w:val="00E03AC1"/>
    <w:rsid w:val="00E03E02"/>
    <w:rsid w:val="00E03ECF"/>
    <w:rsid w:val="00E052DD"/>
    <w:rsid w:val="00E06327"/>
    <w:rsid w:val="00E065FE"/>
    <w:rsid w:val="00E101B3"/>
    <w:rsid w:val="00E10439"/>
    <w:rsid w:val="00E104F3"/>
    <w:rsid w:val="00E131A7"/>
    <w:rsid w:val="00E13B81"/>
    <w:rsid w:val="00E13EEE"/>
    <w:rsid w:val="00E145E0"/>
    <w:rsid w:val="00E14C88"/>
    <w:rsid w:val="00E14F89"/>
    <w:rsid w:val="00E16504"/>
    <w:rsid w:val="00E2064B"/>
    <w:rsid w:val="00E20715"/>
    <w:rsid w:val="00E215C0"/>
    <w:rsid w:val="00E2271A"/>
    <w:rsid w:val="00E235F7"/>
    <w:rsid w:val="00E24293"/>
    <w:rsid w:val="00E24484"/>
    <w:rsid w:val="00E2465E"/>
    <w:rsid w:val="00E25239"/>
    <w:rsid w:val="00E2584D"/>
    <w:rsid w:val="00E265B1"/>
    <w:rsid w:val="00E2668E"/>
    <w:rsid w:val="00E275B0"/>
    <w:rsid w:val="00E30443"/>
    <w:rsid w:val="00E31125"/>
    <w:rsid w:val="00E31527"/>
    <w:rsid w:val="00E31E43"/>
    <w:rsid w:val="00E3227B"/>
    <w:rsid w:val="00E356D9"/>
    <w:rsid w:val="00E35705"/>
    <w:rsid w:val="00E35774"/>
    <w:rsid w:val="00E36E86"/>
    <w:rsid w:val="00E371EA"/>
    <w:rsid w:val="00E37842"/>
    <w:rsid w:val="00E412D0"/>
    <w:rsid w:val="00E42631"/>
    <w:rsid w:val="00E426CE"/>
    <w:rsid w:val="00E42D5F"/>
    <w:rsid w:val="00E435FA"/>
    <w:rsid w:val="00E43DE2"/>
    <w:rsid w:val="00E4773C"/>
    <w:rsid w:val="00E47C27"/>
    <w:rsid w:val="00E47CDB"/>
    <w:rsid w:val="00E5153E"/>
    <w:rsid w:val="00E520E3"/>
    <w:rsid w:val="00E534B7"/>
    <w:rsid w:val="00E566BC"/>
    <w:rsid w:val="00E567DA"/>
    <w:rsid w:val="00E56F8F"/>
    <w:rsid w:val="00E57FC5"/>
    <w:rsid w:val="00E601F2"/>
    <w:rsid w:val="00E60982"/>
    <w:rsid w:val="00E60C8D"/>
    <w:rsid w:val="00E60F36"/>
    <w:rsid w:val="00E6162F"/>
    <w:rsid w:val="00E6311B"/>
    <w:rsid w:val="00E65374"/>
    <w:rsid w:val="00E65D97"/>
    <w:rsid w:val="00E6718A"/>
    <w:rsid w:val="00E67656"/>
    <w:rsid w:val="00E67EFD"/>
    <w:rsid w:val="00E702DC"/>
    <w:rsid w:val="00E70C5D"/>
    <w:rsid w:val="00E7193B"/>
    <w:rsid w:val="00E71954"/>
    <w:rsid w:val="00E71FFB"/>
    <w:rsid w:val="00E72471"/>
    <w:rsid w:val="00E76D1D"/>
    <w:rsid w:val="00E77571"/>
    <w:rsid w:val="00E77C06"/>
    <w:rsid w:val="00E806F8"/>
    <w:rsid w:val="00E81546"/>
    <w:rsid w:val="00E81FD0"/>
    <w:rsid w:val="00E842F6"/>
    <w:rsid w:val="00E84E28"/>
    <w:rsid w:val="00E86D13"/>
    <w:rsid w:val="00E87752"/>
    <w:rsid w:val="00E8793B"/>
    <w:rsid w:val="00E90458"/>
    <w:rsid w:val="00E90DD1"/>
    <w:rsid w:val="00E90F81"/>
    <w:rsid w:val="00E917CC"/>
    <w:rsid w:val="00E91A6D"/>
    <w:rsid w:val="00E9242D"/>
    <w:rsid w:val="00E942A1"/>
    <w:rsid w:val="00E944DD"/>
    <w:rsid w:val="00E94F03"/>
    <w:rsid w:val="00E95586"/>
    <w:rsid w:val="00E97877"/>
    <w:rsid w:val="00E97C21"/>
    <w:rsid w:val="00EA0B4D"/>
    <w:rsid w:val="00EA15C2"/>
    <w:rsid w:val="00EA3DD9"/>
    <w:rsid w:val="00EA4171"/>
    <w:rsid w:val="00EA55FA"/>
    <w:rsid w:val="00EA5DE8"/>
    <w:rsid w:val="00EA71A2"/>
    <w:rsid w:val="00EB041C"/>
    <w:rsid w:val="00EB0E99"/>
    <w:rsid w:val="00EB1410"/>
    <w:rsid w:val="00EB14DC"/>
    <w:rsid w:val="00EB246E"/>
    <w:rsid w:val="00EB3849"/>
    <w:rsid w:val="00EB4FD4"/>
    <w:rsid w:val="00EB5C53"/>
    <w:rsid w:val="00EB77A4"/>
    <w:rsid w:val="00EB7E9D"/>
    <w:rsid w:val="00EC2558"/>
    <w:rsid w:val="00EC30DB"/>
    <w:rsid w:val="00EC3DBA"/>
    <w:rsid w:val="00EC4A05"/>
    <w:rsid w:val="00EC5874"/>
    <w:rsid w:val="00EC5E42"/>
    <w:rsid w:val="00EC6717"/>
    <w:rsid w:val="00ED192D"/>
    <w:rsid w:val="00ED30B4"/>
    <w:rsid w:val="00ED31F5"/>
    <w:rsid w:val="00ED3C44"/>
    <w:rsid w:val="00EE09B6"/>
    <w:rsid w:val="00EE0B7A"/>
    <w:rsid w:val="00EE11A9"/>
    <w:rsid w:val="00EE2755"/>
    <w:rsid w:val="00EE2C4E"/>
    <w:rsid w:val="00EE4653"/>
    <w:rsid w:val="00EE6D5E"/>
    <w:rsid w:val="00EE7BC3"/>
    <w:rsid w:val="00EE7D04"/>
    <w:rsid w:val="00EE7DA7"/>
    <w:rsid w:val="00EF0A58"/>
    <w:rsid w:val="00EF1690"/>
    <w:rsid w:val="00EF2759"/>
    <w:rsid w:val="00EF45EB"/>
    <w:rsid w:val="00EF4783"/>
    <w:rsid w:val="00EF5099"/>
    <w:rsid w:val="00EF5155"/>
    <w:rsid w:val="00EF5E33"/>
    <w:rsid w:val="00EF5EB3"/>
    <w:rsid w:val="00EF625F"/>
    <w:rsid w:val="00EF63C6"/>
    <w:rsid w:val="00EF66C1"/>
    <w:rsid w:val="00EF727A"/>
    <w:rsid w:val="00EF729C"/>
    <w:rsid w:val="00F00075"/>
    <w:rsid w:val="00F037C1"/>
    <w:rsid w:val="00F06A0D"/>
    <w:rsid w:val="00F07632"/>
    <w:rsid w:val="00F07822"/>
    <w:rsid w:val="00F1102D"/>
    <w:rsid w:val="00F11F7D"/>
    <w:rsid w:val="00F1459F"/>
    <w:rsid w:val="00F149E1"/>
    <w:rsid w:val="00F151C0"/>
    <w:rsid w:val="00F15C95"/>
    <w:rsid w:val="00F16EEC"/>
    <w:rsid w:val="00F1721C"/>
    <w:rsid w:val="00F20208"/>
    <w:rsid w:val="00F2072E"/>
    <w:rsid w:val="00F20842"/>
    <w:rsid w:val="00F22985"/>
    <w:rsid w:val="00F241AB"/>
    <w:rsid w:val="00F25E3C"/>
    <w:rsid w:val="00F263E2"/>
    <w:rsid w:val="00F26627"/>
    <w:rsid w:val="00F27107"/>
    <w:rsid w:val="00F3039A"/>
    <w:rsid w:val="00F31382"/>
    <w:rsid w:val="00F32F78"/>
    <w:rsid w:val="00F330A3"/>
    <w:rsid w:val="00F3370C"/>
    <w:rsid w:val="00F347C4"/>
    <w:rsid w:val="00F35829"/>
    <w:rsid w:val="00F35C53"/>
    <w:rsid w:val="00F3613E"/>
    <w:rsid w:val="00F37216"/>
    <w:rsid w:val="00F41D00"/>
    <w:rsid w:val="00F42868"/>
    <w:rsid w:val="00F42A7A"/>
    <w:rsid w:val="00F4380C"/>
    <w:rsid w:val="00F465A7"/>
    <w:rsid w:val="00F4666C"/>
    <w:rsid w:val="00F47D14"/>
    <w:rsid w:val="00F50B7C"/>
    <w:rsid w:val="00F5130A"/>
    <w:rsid w:val="00F5202D"/>
    <w:rsid w:val="00F52CF6"/>
    <w:rsid w:val="00F54496"/>
    <w:rsid w:val="00F54794"/>
    <w:rsid w:val="00F57949"/>
    <w:rsid w:val="00F61097"/>
    <w:rsid w:val="00F61702"/>
    <w:rsid w:val="00F6184E"/>
    <w:rsid w:val="00F61DE8"/>
    <w:rsid w:val="00F620E2"/>
    <w:rsid w:val="00F62510"/>
    <w:rsid w:val="00F62976"/>
    <w:rsid w:val="00F64793"/>
    <w:rsid w:val="00F656AA"/>
    <w:rsid w:val="00F67C75"/>
    <w:rsid w:val="00F718F9"/>
    <w:rsid w:val="00F71FC1"/>
    <w:rsid w:val="00F74006"/>
    <w:rsid w:val="00F74345"/>
    <w:rsid w:val="00F74427"/>
    <w:rsid w:val="00F74441"/>
    <w:rsid w:val="00F74AC3"/>
    <w:rsid w:val="00F758B3"/>
    <w:rsid w:val="00F75B0A"/>
    <w:rsid w:val="00F76755"/>
    <w:rsid w:val="00F77E3E"/>
    <w:rsid w:val="00F77F30"/>
    <w:rsid w:val="00F80879"/>
    <w:rsid w:val="00F815B4"/>
    <w:rsid w:val="00F8221E"/>
    <w:rsid w:val="00F82329"/>
    <w:rsid w:val="00F82589"/>
    <w:rsid w:val="00F82B19"/>
    <w:rsid w:val="00F839EA"/>
    <w:rsid w:val="00F83D02"/>
    <w:rsid w:val="00F83E23"/>
    <w:rsid w:val="00F84058"/>
    <w:rsid w:val="00F84A61"/>
    <w:rsid w:val="00F8565D"/>
    <w:rsid w:val="00F879C6"/>
    <w:rsid w:val="00F87D1F"/>
    <w:rsid w:val="00F9037A"/>
    <w:rsid w:val="00F903E8"/>
    <w:rsid w:val="00F903F3"/>
    <w:rsid w:val="00F90AA7"/>
    <w:rsid w:val="00F90D74"/>
    <w:rsid w:val="00F9212D"/>
    <w:rsid w:val="00F921D1"/>
    <w:rsid w:val="00F92917"/>
    <w:rsid w:val="00F94474"/>
    <w:rsid w:val="00F94647"/>
    <w:rsid w:val="00F94B59"/>
    <w:rsid w:val="00F9704F"/>
    <w:rsid w:val="00F972E8"/>
    <w:rsid w:val="00F977AF"/>
    <w:rsid w:val="00FA0F9D"/>
    <w:rsid w:val="00FA1965"/>
    <w:rsid w:val="00FA301A"/>
    <w:rsid w:val="00FA33DD"/>
    <w:rsid w:val="00FA406A"/>
    <w:rsid w:val="00FA5CB6"/>
    <w:rsid w:val="00FA6AE1"/>
    <w:rsid w:val="00FA71DD"/>
    <w:rsid w:val="00FB15E6"/>
    <w:rsid w:val="00FB2068"/>
    <w:rsid w:val="00FB2D43"/>
    <w:rsid w:val="00FB42CE"/>
    <w:rsid w:val="00FB5C75"/>
    <w:rsid w:val="00FB5FF8"/>
    <w:rsid w:val="00FB6255"/>
    <w:rsid w:val="00FC0505"/>
    <w:rsid w:val="00FC1131"/>
    <w:rsid w:val="00FC278E"/>
    <w:rsid w:val="00FC3719"/>
    <w:rsid w:val="00FC633C"/>
    <w:rsid w:val="00FC66AC"/>
    <w:rsid w:val="00FC7CB4"/>
    <w:rsid w:val="00FD18F4"/>
    <w:rsid w:val="00FD1B9D"/>
    <w:rsid w:val="00FD228C"/>
    <w:rsid w:val="00FD5FBF"/>
    <w:rsid w:val="00FD6931"/>
    <w:rsid w:val="00FD69DB"/>
    <w:rsid w:val="00FD7077"/>
    <w:rsid w:val="00FD74B4"/>
    <w:rsid w:val="00FE0565"/>
    <w:rsid w:val="00FE06D7"/>
    <w:rsid w:val="00FE11B0"/>
    <w:rsid w:val="00FE204A"/>
    <w:rsid w:val="00FE2250"/>
    <w:rsid w:val="00FE5734"/>
    <w:rsid w:val="00FE636A"/>
    <w:rsid w:val="00FE6501"/>
    <w:rsid w:val="00FE7E1F"/>
    <w:rsid w:val="00FF16C9"/>
    <w:rsid w:val="00FF1AD9"/>
    <w:rsid w:val="00FF27CE"/>
    <w:rsid w:val="00FF2826"/>
    <w:rsid w:val="00FF2BC3"/>
    <w:rsid w:val="00FF3514"/>
    <w:rsid w:val="00FF39D9"/>
    <w:rsid w:val="00FF498E"/>
    <w:rsid w:val="00FF6439"/>
    <w:rsid w:val="00FF6ADD"/>
    <w:rsid w:val="00FF6FCE"/>
    <w:rsid w:val="00FF7518"/>
    <w:rsid w:val="00FF7FD8"/>
    <w:rsid w:val="01141165"/>
    <w:rsid w:val="01186AC5"/>
    <w:rsid w:val="01195D18"/>
    <w:rsid w:val="011C626C"/>
    <w:rsid w:val="014C0F72"/>
    <w:rsid w:val="01565C22"/>
    <w:rsid w:val="018C1643"/>
    <w:rsid w:val="01916C5A"/>
    <w:rsid w:val="01997D54"/>
    <w:rsid w:val="01C0309B"/>
    <w:rsid w:val="01C901A1"/>
    <w:rsid w:val="02104C13"/>
    <w:rsid w:val="022C7401"/>
    <w:rsid w:val="02301F51"/>
    <w:rsid w:val="02541D7F"/>
    <w:rsid w:val="0261487E"/>
    <w:rsid w:val="02621F94"/>
    <w:rsid w:val="029F53A6"/>
    <w:rsid w:val="02EC2996"/>
    <w:rsid w:val="02FD387E"/>
    <w:rsid w:val="0322475B"/>
    <w:rsid w:val="03407271"/>
    <w:rsid w:val="03895B20"/>
    <w:rsid w:val="039667A9"/>
    <w:rsid w:val="03A93ABE"/>
    <w:rsid w:val="03AA4003"/>
    <w:rsid w:val="03BA6178"/>
    <w:rsid w:val="03D1158F"/>
    <w:rsid w:val="03FB5209"/>
    <w:rsid w:val="041925A5"/>
    <w:rsid w:val="044E2BE0"/>
    <w:rsid w:val="045301F6"/>
    <w:rsid w:val="04770389"/>
    <w:rsid w:val="049F343C"/>
    <w:rsid w:val="04C42EA2"/>
    <w:rsid w:val="04CE1F73"/>
    <w:rsid w:val="04CE5ACF"/>
    <w:rsid w:val="04F069BD"/>
    <w:rsid w:val="050140F6"/>
    <w:rsid w:val="051060E7"/>
    <w:rsid w:val="0519526F"/>
    <w:rsid w:val="052857AE"/>
    <w:rsid w:val="054F5054"/>
    <w:rsid w:val="05742AC8"/>
    <w:rsid w:val="05882122"/>
    <w:rsid w:val="05905187"/>
    <w:rsid w:val="059B12C3"/>
    <w:rsid w:val="05B607CF"/>
    <w:rsid w:val="05C72C1A"/>
    <w:rsid w:val="05CF7D50"/>
    <w:rsid w:val="060A7F0C"/>
    <w:rsid w:val="06344057"/>
    <w:rsid w:val="06352F05"/>
    <w:rsid w:val="063E7D85"/>
    <w:rsid w:val="067508F8"/>
    <w:rsid w:val="06775734"/>
    <w:rsid w:val="069F6081"/>
    <w:rsid w:val="06BA7F39"/>
    <w:rsid w:val="06CB676A"/>
    <w:rsid w:val="06CE08C2"/>
    <w:rsid w:val="06ED4932"/>
    <w:rsid w:val="070875E0"/>
    <w:rsid w:val="07097292"/>
    <w:rsid w:val="071023CF"/>
    <w:rsid w:val="071426B7"/>
    <w:rsid w:val="071C5217"/>
    <w:rsid w:val="07224A69"/>
    <w:rsid w:val="07293586"/>
    <w:rsid w:val="07295285"/>
    <w:rsid w:val="073256DB"/>
    <w:rsid w:val="07770C56"/>
    <w:rsid w:val="078801B7"/>
    <w:rsid w:val="079C42F6"/>
    <w:rsid w:val="07B90CB8"/>
    <w:rsid w:val="07C5140B"/>
    <w:rsid w:val="07CD7627"/>
    <w:rsid w:val="07DE427B"/>
    <w:rsid w:val="07E21FBD"/>
    <w:rsid w:val="08255A35"/>
    <w:rsid w:val="0854453D"/>
    <w:rsid w:val="086E55FF"/>
    <w:rsid w:val="089F7EAE"/>
    <w:rsid w:val="08A00266"/>
    <w:rsid w:val="08A51890"/>
    <w:rsid w:val="08BD0ECF"/>
    <w:rsid w:val="08C711B3"/>
    <w:rsid w:val="08DD09D6"/>
    <w:rsid w:val="091C11FF"/>
    <w:rsid w:val="091F56ED"/>
    <w:rsid w:val="092217DD"/>
    <w:rsid w:val="092472CA"/>
    <w:rsid w:val="092B34F0"/>
    <w:rsid w:val="09363C55"/>
    <w:rsid w:val="093A7294"/>
    <w:rsid w:val="09450846"/>
    <w:rsid w:val="09540C99"/>
    <w:rsid w:val="09547AF8"/>
    <w:rsid w:val="09710FE0"/>
    <w:rsid w:val="098466E2"/>
    <w:rsid w:val="098560BB"/>
    <w:rsid w:val="09A33F5B"/>
    <w:rsid w:val="09C33728"/>
    <w:rsid w:val="09DC0C8E"/>
    <w:rsid w:val="09DE5A0C"/>
    <w:rsid w:val="09EF5447"/>
    <w:rsid w:val="0A23066B"/>
    <w:rsid w:val="0A434869"/>
    <w:rsid w:val="0A652A31"/>
    <w:rsid w:val="0A7113D6"/>
    <w:rsid w:val="0A7809B7"/>
    <w:rsid w:val="0AB539B9"/>
    <w:rsid w:val="0AD8682D"/>
    <w:rsid w:val="0AEC2A51"/>
    <w:rsid w:val="0B047F5B"/>
    <w:rsid w:val="0B2705C9"/>
    <w:rsid w:val="0B4A2958"/>
    <w:rsid w:val="0B680A2B"/>
    <w:rsid w:val="0BC44ADC"/>
    <w:rsid w:val="0BD27BF6"/>
    <w:rsid w:val="0BEE0331"/>
    <w:rsid w:val="0C6311F3"/>
    <w:rsid w:val="0C6A432F"/>
    <w:rsid w:val="0C782EF0"/>
    <w:rsid w:val="0C822209"/>
    <w:rsid w:val="0C833643"/>
    <w:rsid w:val="0C85560D"/>
    <w:rsid w:val="0C9B098C"/>
    <w:rsid w:val="0C9D4FE4"/>
    <w:rsid w:val="0CA830A9"/>
    <w:rsid w:val="0CE84A75"/>
    <w:rsid w:val="0CF34325"/>
    <w:rsid w:val="0D0227BA"/>
    <w:rsid w:val="0D065FC8"/>
    <w:rsid w:val="0D16716C"/>
    <w:rsid w:val="0D1D6B9E"/>
    <w:rsid w:val="0D2564A8"/>
    <w:rsid w:val="0D3606B5"/>
    <w:rsid w:val="0D3B1FC4"/>
    <w:rsid w:val="0D870C14"/>
    <w:rsid w:val="0D9217FF"/>
    <w:rsid w:val="0D9334C9"/>
    <w:rsid w:val="0DAA1BA0"/>
    <w:rsid w:val="0DAA50B9"/>
    <w:rsid w:val="0DB04F49"/>
    <w:rsid w:val="0DC43F13"/>
    <w:rsid w:val="0DD203DE"/>
    <w:rsid w:val="0DE63E89"/>
    <w:rsid w:val="0DF73A45"/>
    <w:rsid w:val="0DFC545B"/>
    <w:rsid w:val="0E110D06"/>
    <w:rsid w:val="0E3B2429"/>
    <w:rsid w:val="0E3F3599"/>
    <w:rsid w:val="0E6A2D0C"/>
    <w:rsid w:val="0E7B4DC7"/>
    <w:rsid w:val="0EAD2BF9"/>
    <w:rsid w:val="0ECC63BA"/>
    <w:rsid w:val="0ED7072B"/>
    <w:rsid w:val="0ED71034"/>
    <w:rsid w:val="0F13775A"/>
    <w:rsid w:val="0F1B6BFB"/>
    <w:rsid w:val="0F2133A0"/>
    <w:rsid w:val="0F2729AB"/>
    <w:rsid w:val="0F2A5FF8"/>
    <w:rsid w:val="0F384BB8"/>
    <w:rsid w:val="0F4D2461"/>
    <w:rsid w:val="0F4E1CE6"/>
    <w:rsid w:val="0F5C6279"/>
    <w:rsid w:val="0F610C24"/>
    <w:rsid w:val="0F8C0A60"/>
    <w:rsid w:val="0F9977AB"/>
    <w:rsid w:val="0F9A112B"/>
    <w:rsid w:val="0FD121E1"/>
    <w:rsid w:val="0FF509EA"/>
    <w:rsid w:val="0FF70D71"/>
    <w:rsid w:val="10240C99"/>
    <w:rsid w:val="1025513D"/>
    <w:rsid w:val="106D2F64"/>
    <w:rsid w:val="10AD0C8E"/>
    <w:rsid w:val="10AD6EE0"/>
    <w:rsid w:val="10B63710"/>
    <w:rsid w:val="10C81F6C"/>
    <w:rsid w:val="10E943BC"/>
    <w:rsid w:val="111C2F7A"/>
    <w:rsid w:val="113013DE"/>
    <w:rsid w:val="11391F42"/>
    <w:rsid w:val="11513D10"/>
    <w:rsid w:val="115B40DB"/>
    <w:rsid w:val="1176055B"/>
    <w:rsid w:val="119D0D03"/>
    <w:rsid w:val="11A93C63"/>
    <w:rsid w:val="11AE4CBE"/>
    <w:rsid w:val="11BC387F"/>
    <w:rsid w:val="11C20769"/>
    <w:rsid w:val="120B2110"/>
    <w:rsid w:val="1216361C"/>
    <w:rsid w:val="122B06C2"/>
    <w:rsid w:val="123A0C48"/>
    <w:rsid w:val="12647A72"/>
    <w:rsid w:val="126B7053"/>
    <w:rsid w:val="127777A6"/>
    <w:rsid w:val="128D521B"/>
    <w:rsid w:val="12A84C29"/>
    <w:rsid w:val="12ED7A68"/>
    <w:rsid w:val="130F3E82"/>
    <w:rsid w:val="1333251C"/>
    <w:rsid w:val="135B0E75"/>
    <w:rsid w:val="136105D8"/>
    <w:rsid w:val="13951726"/>
    <w:rsid w:val="139D3A91"/>
    <w:rsid w:val="139D5CD8"/>
    <w:rsid w:val="13A4271F"/>
    <w:rsid w:val="13B20CE4"/>
    <w:rsid w:val="13B9148C"/>
    <w:rsid w:val="13D34EB0"/>
    <w:rsid w:val="13E7095B"/>
    <w:rsid w:val="13F217DA"/>
    <w:rsid w:val="14396509"/>
    <w:rsid w:val="143E4655"/>
    <w:rsid w:val="143E60BA"/>
    <w:rsid w:val="1447165C"/>
    <w:rsid w:val="14890660"/>
    <w:rsid w:val="149F2FE4"/>
    <w:rsid w:val="14A33DD8"/>
    <w:rsid w:val="14A8633C"/>
    <w:rsid w:val="14B22D17"/>
    <w:rsid w:val="14D87E9A"/>
    <w:rsid w:val="14E1449D"/>
    <w:rsid w:val="14FC3F92"/>
    <w:rsid w:val="15107926"/>
    <w:rsid w:val="15883A78"/>
    <w:rsid w:val="15A5462A"/>
    <w:rsid w:val="15B912F9"/>
    <w:rsid w:val="15BB5BFB"/>
    <w:rsid w:val="15E736F6"/>
    <w:rsid w:val="15F31839"/>
    <w:rsid w:val="15F852E9"/>
    <w:rsid w:val="15F86E50"/>
    <w:rsid w:val="16105F47"/>
    <w:rsid w:val="16204C39"/>
    <w:rsid w:val="1629525B"/>
    <w:rsid w:val="1639752F"/>
    <w:rsid w:val="165C118C"/>
    <w:rsid w:val="168C69C5"/>
    <w:rsid w:val="16F70EB5"/>
    <w:rsid w:val="1726179A"/>
    <w:rsid w:val="17735226"/>
    <w:rsid w:val="179761F4"/>
    <w:rsid w:val="17DF606D"/>
    <w:rsid w:val="17E7717C"/>
    <w:rsid w:val="17F65611"/>
    <w:rsid w:val="18094D46"/>
    <w:rsid w:val="182F368A"/>
    <w:rsid w:val="183A22A9"/>
    <w:rsid w:val="18475E6C"/>
    <w:rsid w:val="185C36C6"/>
    <w:rsid w:val="18770500"/>
    <w:rsid w:val="187D53EA"/>
    <w:rsid w:val="187F4D45"/>
    <w:rsid w:val="18975082"/>
    <w:rsid w:val="189D4FA6"/>
    <w:rsid w:val="18A706B9"/>
    <w:rsid w:val="18AC17BB"/>
    <w:rsid w:val="18D94D16"/>
    <w:rsid w:val="191D2CCE"/>
    <w:rsid w:val="19257F5C"/>
    <w:rsid w:val="194505FE"/>
    <w:rsid w:val="194D74B2"/>
    <w:rsid w:val="196D2E5D"/>
    <w:rsid w:val="197D7D98"/>
    <w:rsid w:val="19921369"/>
    <w:rsid w:val="19B72B7E"/>
    <w:rsid w:val="19C31523"/>
    <w:rsid w:val="19DE36A1"/>
    <w:rsid w:val="1A1A55E6"/>
    <w:rsid w:val="1A1C66C0"/>
    <w:rsid w:val="1A202A12"/>
    <w:rsid w:val="1A294CEC"/>
    <w:rsid w:val="1A42393B"/>
    <w:rsid w:val="1A514D80"/>
    <w:rsid w:val="1A6D4B10"/>
    <w:rsid w:val="1A7C5269"/>
    <w:rsid w:val="1A7D3DC7"/>
    <w:rsid w:val="1A89451A"/>
    <w:rsid w:val="1A9E1E27"/>
    <w:rsid w:val="1AA255DC"/>
    <w:rsid w:val="1AB33345"/>
    <w:rsid w:val="1AF04495"/>
    <w:rsid w:val="1AFA5418"/>
    <w:rsid w:val="1B046F80"/>
    <w:rsid w:val="1B3267B5"/>
    <w:rsid w:val="1B333503"/>
    <w:rsid w:val="1B5C578B"/>
    <w:rsid w:val="1B7706DC"/>
    <w:rsid w:val="1B7A20B5"/>
    <w:rsid w:val="1B970EB9"/>
    <w:rsid w:val="1BC25DC8"/>
    <w:rsid w:val="1BC872C4"/>
    <w:rsid w:val="1BDD4B1E"/>
    <w:rsid w:val="1BE86120"/>
    <w:rsid w:val="1BF14125"/>
    <w:rsid w:val="1BFB2953"/>
    <w:rsid w:val="1C20736E"/>
    <w:rsid w:val="1C4C7E65"/>
    <w:rsid w:val="1C5E7925"/>
    <w:rsid w:val="1C887FC8"/>
    <w:rsid w:val="1C915908"/>
    <w:rsid w:val="1C9464D5"/>
    <w:rsid w:val="1CA725AE"/>
    <w:rsid w:val="1CEE6C3F"/>
    <w:rsid w:val="1D0460DA"/>
    <w:rsid w:val="1D0E0D07"/>
    <w:rsid w:val="1D126A49"/>
    <w:rsid w:val="1D1E7984"/>
    <w:rsid w:val="1D33076D"/>
    <w:rsid w:val="1D4B3D09"/>
    <w:rsid w:val="1D526E45"/>
    <w:rsid w:val="1D570900"/>
    <w:rsid w:val="1D5F6196"/>
    <w:rsid w:val="1D6132A5"/>
    <w:rsid w:val="1D8E56D5"/>
    <w:rsid w:val="1DB95116"/>
    <w:rsid w:val="1DCC6295"/>
    <w:rsid w:val="1E21420F"/>
    <w:rsid w:val="1E253203"/>
    <w:rsid w:val="1E58492F"/>
    <w:rsid w:val="1E7770DE"/>
    <w:rsid w:val="1E7948A6"/>
    <w:rsid w:val="1E7A43DA"/>
    <w:rsid w:val="1E8B697F"/>
    <w:rsid w:val="1EA8656B"/>
    <w:rsid w:val="1EB277FE"/>
    <w:rsid w:val="1EB853CE"/>
    <w:rsid w:val="1EC71AB5"/>
    <w:rsid w:val="1EE03162"/>
    <w:rsid w:val="1EE50723"/>
    <w:rsid w:val="1EEC146E"/>
    <w:rsid w:val="1EEF01A7"/>
    <w:rsid w:val="1F1C3BAF"/>
    <w:rsid w:val="1F2716D3"/>
    <w:rsid w:val="1F2B4A85"/>
    <w:rsid w:val="1F310CB4"/>
    <w:rsid w:val="1F3B03AF"/>
    <w:rsid w:val="1F4E5D32"/>
    <w:rsid w:val="1F5F4C80"/>
    <w:rsid w:val="1F8A4FBC"/>
    <w:rsid w:val="1F933745"/>
    <w:rsid w:val="1FD47FE6"/>
    <w:rsid w:val="1FE741BD"/>
    <w:rsid w:val="1FE7539E"/>
    <w:rsid w:val="1FEF3071"/>
    <w:rsid w:val="1FF27875"/>
    <w:rsid w:val="201557E0"/>
    <w:rsid w:val="203F1FE1"/>
    <w:rsid w:val="20623843"/>
    <w:rsid w:val="20692E24"/>
    <w:rsid w:val="20880DD0"/>
    <w:rsid w:val="20963CB8"/>
    <w:rsid w:val="20A205DE"/>
    <w:rsid w:val="20B07FB6"/>
    <w:rsid w:val="20BC5AB0"/>
    <w:rsid w:val="20DA089D"/>
    <w:rsid w:val="20DB35F6"/>
    <w:rsid w:val="2112296A"/>
    <w:rsid w:val="211F1734"/>
    <w:rsid w:val="21293D11"/>
    <w:rsid w:val="213B74B1"/>
    <w:rsid w:val="2144119B"/>
    <w:rsid w:val="214E3B8E"/>
    <w:rsid w:val="21562C7C"/>
    <w:rsid w:val="215A2310"/>
    <w:rsid w:val="215F7D83"/>
    <w:rsid w:val="2161165A"/>
    <w:rsid w:val="219E6AFD"/>
    <w:rsid w:val="21AE4866"/>
    <w:rsid w:val="21DE318A"/>
    <w:rsid w:val="21EF5B80"/>
    <w:rsid w:val="222B0586"/>
    <w:rsid w:val="224B0651"/>
    <w:rsid w:val="2250591D"/>
    <w:rsid w:val="22576990"/>
    <w:rsid w:val="227F78B3"/>
    <w:rsid w:val="229B4DEB"/>
    <w:rsid w:val="229C4EAB"/>
    <w:rsid w:val="22BA197A"/>
    <w:rsid w:val="22EC5646"/>
    <w:rsid w:val="23014E8F"/>
    <w:rsid w:val="23076924"/>
    <w:rsid w:val="230B6414"/>
    <w:rsid w:val="2322375E"/>
    <w:rsid w:val="234D3200"/>
    <w:rsid w:val="235D1C04"/>
    <w:rsid w:val="2369138D"/>
    <w:rsid w:val="236B2A0F"/>
    <w:rsid w:val="23757D31"/>
    <w:rsid w:val="237E037C"/>
    <w:rsid w:val="237F3CD5"/>
    <w:rsid w:val="23871813"/>
    <w:rsid w:val="239C5C07"/>
    <w:rsid w:val="23D26F32"/>
    <w:rsid w:val="23DC1B5F"/>
    <w:rsid w:val="2406098A"/>
    <w:rsid w:val="245636BF"/>
    <w:rsid w:val="245A4C34"/>
    <w:rsid w:val="245B6F27"/>
    <w:rsid w:val="24A15727"/>
    <w:rsid w:val="24A7216D"/>
    <w:rsid w:val="24D171E9"/>
    <w:rsid w:val="24D52C27"/>
    <w:rsid w:val="24DA2DF4"/>
    <w:rsid w:val="24E759E5"/>
    <w:rsid w:val="24EA3E07"/>
    <w:rsid w:val="25034EC9"/>
    <w:rsid w:val="25264EFD"/>
    <w:rsid w:val="252D53FE"/>
    <w:rsid w:val="256718FC"/>
    <w:rsid w:val="259049AF"/>
    <w:rsid w:val="25A53741"/>
    <w:rsid w:val="25C32FD6"/>
    <w:rsid w:val="25DA3E7C"/>
    <w:rsid w:val="25E53A11"/>
    <w:rsid w:val="25EC2D81"/>
    <w:rsid w:val="26143832"/>
    <w:rsid w:val="263129AE"/>
    <w:rsid w:val="264528BD"/>
    <w:rsid w:val="26AB75C6"/>
    <w:rsid w:val="273D7D4C"/>
    <w:rsid w:val="27651E6B"/>
    <w:rsid w:val="27AA0490"/>
    <w:rsid w:val="27BB7CDD"/>
    <w:rsid w:val="27BD1CA7"/>
    <w:rsid w:val="27C272BD"/>
    <w:rsid w:val="27D15DD1"/>
    <w:rsid w:val="27D34B9C"/>
    <w:rsid w:val="27E90CCC"/>
    <w:rsid w:val="27FA0805"/>
    <w:rsid w:val="281D44F4"/>
    <w:rsid w:val="28681C13"/>
    <w:rsid w:val="28A76295"/>
    <w:rsid w:val="28D177B8"/>
    <w:rsid w:val="29174AC8"/>
    <w:rsid w:val="29206EB8"/>
    <w:rsid w:val="2936586D"/>
    <w:rsid w:val="29543F45"/>
    <w:rsid w:val="295D729E"/>
    <w:rsid w:val="2961005D"/>
    <w:rsid w:val="296F6FD1"/>
    <w:rsid w:val="2974391C"/>
    <w:rsid w:val="299D266E"/>
    <w:rsid w:val="29B42C36"/>
    <w:rsid w:val="29CC7F7F"/>
    <w:rsid w:val="29E325E0"/>
    <w:rsid w:val="29F80D74"/>
    <w:rsid w:val="2A452503"/>
    <w:rsid w:val="2A497822"/>
    <w:rsid w:val="2A503CE6"/>
    <w:rsid w:val="2A587A65"/>
    <w:rsid w:val="2AA13FD4"/>
    <w:rsid w:val="2AA77E46"/>
    <w:rsid w:val="2AE94E2B"/>
    <w:rsid w:val="2B6C7C6C"/>
    <w:rsid w:val="2B7E60F3"/>
    <w:rsid w:val="2B870602"/>
    <w:rsid w:val="2BA936A8"/>
    <w:rsid w:val="2BC2788C"/>
    <w:rsid w:val="2BC43F31"/>
    <w:rsid w:val="2BC7343E"/>
    <w:rsid w:val="2BD17ACF"/>
    <w:rsid w:val="2BDE1716"/>
    <w:rsid w:val="2BDF043E"/>
    <w:rsid w:val="2BE07D12"/>
    <w:rsid w:val="2C315A5A"/>
    <w:rsid w:val="2C332ABF"/>
    <w:rsid w:val="2C3E3082"/>
    <w:rsid w:val="2C4627F2"/>
    <w:rsid w:val="2C5D75B5"/>
    <w:rsid w:val="2C834A28"/>
    <w:rsid w:val="2C870EA2"/>
    <w:rsid w:val="2CA91E8E"/>
    <w:rsid w:val="2CA927FA"/>
    <w:rsid w:val="2CA95249"/>
    <w:rsid w:val="2CE101E6"/>
    <w:rsid w:val="2D2500D2"/>
    <w:rsid w:val="2D43338B"/>
    <w:rsid w:val="2D4F33A1"/>
    <w:rsid w:val="2D9E56F5"/>
    <w:rsid w:val="2DB22C9D"/>
    <w:rsid w:val="2DB63420"/>
    <w:rsid w:val="2DBE437C"/>
    <w:rsid w:val="2E114AFB"/>
    <w:rsid w:val="2E324243"/>
    <w:rsid w:val="2E667F96"/>
    <w:rsid w:val="2E725599"/>
    <w:rsid w:val="2E8226AB"/>
    <w:rsid w:val="2E861045"/>
    <w:rsid w:val="2EA57D47"/>
    <w:rsid w:val="2EE81F89"/>
    <w:rsid w:val="2EF064BE"/>
    <w:rsid w:val="2EF30CD1"/>
    <w:rsid w:val="2F054610"/>
    <w:rsid w:val="2F1A178D"/>
    <w:rsid w:val="2F1E59C3"/>
    <w:rsid w:val="2F1E74CF"/>
    <w:rsid w:val="2F6641B9"/>
    <w:rsid w:val="2F713AA3"/>
    <w:rsid w:val="2F8119E7"/>
    <w:rsid w:val="2F832C79"/>
    <w:rsid w:val="2F835584"/>
    <w:rsid w:val="2F912749"/>
    <w:rsid w:val="2FBC149F"/>
    <w:rsid w:val="2FBD1AC5"/>
    <w:rsid w:val="2FCD67FF"/>
    <w:rsid w:val="2FEF2D58"/>
    <w:rsid w:val="30580BC9"/>
    <w:rsid w:val="30772D56"/>
    <w:rsid w:val="309319DA"/>
    <w:rsid w:val="30981293"/>
    <w:rsid w:val="309C68FD"/>
    <w:rsid w:val="30A6152A"/>
    <w:rsid w:val="30B5421D"/>
    <w:rsid w:val="30C916BD"/>
    <w:rsid w:val="30C95219"/>
    <w:rsid w:val="30E27C07"/>
    <w:rsid w:val="30EF1562"/>
    <w:rsid w:val="311E2ED7"/>
    <w:rsid w:val="314B289F"/>
    <w:rsid w:val="315C449C"/>
    <w:rsid w:val="317C6EE4"/>
    <w:rsid w:val="31AC7296"/>
    <w:rsid w:val="31B23EFF"/>
    <w:rsid w:val="31B82709"/>
    <w:rsid w:val="320A7FC9"/>
    <w:rsid w:val="321D581C"/>
    <w:rsid w:val="32400B34"/>
    <w:rsid w:val="32566F80"/>
    <w:rsid w:val="327870D0"/>
    <w:rsid w:val="329E6876"/>
    <w:rsid w:val="32A41A99"/>
    <w:rsid w:val="32C97752"/>
    <w:rsid w:val="32EB3B6C"/>
    <w:rsid w:val="32EE71B8"/>
    <w:rsid w:val="32F81DE5"/>
    <w:rsid w:val="33072028"/>
    <w:rsid w:val="331309CD"/>
    <w:rsid w:val="33177E6B"/>
    <w:rsid w:val="331935FC"/>
    <w:rsid w:val="33262BA7"/>
    <w:rsid w:val="3327321E"/>
    <w:rsid w:val="334212B2"/>
    <w:rsid w:val="334C648B"/>
    <w:rsid w:val="33693AC2"/>
    <w:rsid w:val="33727B1D"/>
    <w:rsid w:val="33833DA5"/>
    <w:rsid w:val="338A536B"/>
    <w:rsid w:val="339C09C3"/>
    <w:rsid w:val="33B7315F"/>
    <w:rsid w:val="33C33322"/>
    <w:rsid w:val="33CF4883"/>
    <w:rsid w:val="33D934D4"/>
    <w:rsid w:val="33FE2F6A"/>
    <w:rsid w:val="3409224C"/>
    <w:rsid w:val="34117602"/>
    <w:rsid w:val="341B4F41"/>
    <w:rsid w:val="342F0BF2"/>
    <w:rsid w:val="34357FFF"/>
    <w:rsid w:val="345F6F7C"/>
    <w:rsid w:val="346534AA"/>
    <w:rsid w:val="34781430"/>
    <w:rsid w:val="347A3B83"/>
    <w:rsid w:val="347F27BE"/>
    <w:rsid w:val="348025C6"/>
    <w:rsid w:val="34C74165"/>
    <w:rsid w:val="34CC52D7"/>
    <w:rsid w:val="34E814C3"/>
    <w:rsid w:val="34EC4D51"/>
    <w:rsid w:val="34EC597A"/>
    <w:rsid w:val="352B0C6C"/>
    <w:rsid w:val="353D61D5"/>
    <w:rsid w:val="35401E07"/>
    <w:rsid w:val="35527ED3"/>
    <w:rsid w:val="35702107"/>
    <w:rsid w:val="357A11D7"/>
    <w:rsid w:val="35AC5A03"/>
    <w:rsid w:val="35BD48B3"/>
    <w:rsid w:val="35DE4F7A"/>
    <w:rsid w:val="35E11256"/>
    <w:rsid w:val="35ED3757"/>
    <w:rsid w:val="35EE5D7D"/>
    <w:rsid w:val="35F42D38"/>
    <w:rsid w:val="35FA5E74"/>
    <w:rsid w:val="36015455"/>
    <w:rsid w:val="36074A7F"/>
    <w:rsid w:val="36923549"/>
    <w:rsid w:val="36986C20"/>
    <w:rsid w:val="36B75FBF"/>
    <w:rsid w:val="36E0506A"/>
    <w:rsid w:val="36FB4891"/>
    <w:rsid w:val="37133692"/>
    <w:rsid w:val="372A7722"/>
    <w:rsid w:val="375813ED"/>
    <w:rsid w:val="37665153"/>
    <w:rsid w:val="37747743"/>
    <w:rsid w:val="37781747"/>
    <w:rsid w:val="37B13B1B"/>
    <w:rsid w:val="37D2180A"/>
    <w:rsid w:val="380F3E59"/>
    <w:rsid w:val="38160618"/>
    <w:rsid w:val="38514471"/>
    <w:rsid w:val="387F22D9"/>
    <w:rsid w:val="3899376C"/>
    <w:rsid w:val="38997BC6"/>
    <w:rsid w:val="38AD5420"/>
    <w:rsid w:val="38CA29F4"/>
    <w:rsid w:val="38E8321F"/>
    <w:rsid w:val="38E946AF"/>
    <w:rsid w:val="38EA0422"/>
    <w:rsid w:val="38F12CD3"/>
    <w:rsid w:val="38F4304F"/>
    <w:rsid w:val="38F94775"/>
    <w:rsid w:val="39202096"/>
    <w:rsid w:val="392971ED"/>
    <w:rsid w:val="39396CB4"/>
    <w:rsid w:val="3952607C"/>
    <w:rsid w:val="39581830"/>
    <w:rsid w:val="397D3044"/>
    <w:rsid w:val="39805DB2"/>
    <w:rsid w:val="399F551B"/>
    <w:rsid w:val="39EA164A"/>
    <w:rsid w:val="3A2F4EFB"/>
    <w:rsid w:val="3A593C39"/>
    <w:rsid w:val="3A712BA9"/>
    <w:rsid w:val="3A944AE9"/>
    <w:rsid w:val="3AC0768C"/>
    <w:rsid w:val="3AC336EA"/>
    <w:rsid w:val="3ACA22B9"/>
    <w:rsid w:val="3ACD736D"/>
    <w:rsid w:val="3ADB28BD"/>
    <w:rsid w:val="3AE01ADD"/>
    <w:rsid w:val="3AEF1D20"/>
    <w:rsid w:val="3B0317FE"/>
    <w:rsid w:val="3B077069"/>
    <w:rsid w:val="3B2E6E59"/>
    <w:rsid w:val="3B3763D1"/>
    <w:rsid w:val="3B4B6A2F"/>
    <w:rsid w:val="3B762441"/>
    <w:rsid w:val="3B8A081C"/>
    <w:rsid w:val="3B8C57C0"/>
    <w:rsid w:val="3B9A1C8B"/>
    <w:rsid w:val="3BC431AC"/>
    <w:rsid w:val="3BF910A8"/>
    <w:rsid w:val="3C0161AE"/>
    <w:rsid w:val="3C5F3725"/>
    <w:rsid w:val="3C664263"/>
    <w:rsid w:val="3CAB7EC8"/>
    <w:rsid w:val="3CBA4519"/>
    <w:rsid w:val="3CD26389"/>
    <w:rsid w:val="3CDA245A"/>
    <w:rsid w:val="3CE576FB"/>
    <w:rsid w:val="3CEE0A37"/>
    <w:rsid w:val="3CF33D49"/>
    <w:rsid w:val="3D0E7876"/>
    <w:rsid w:val="3D0F2AA3"/>
    <w:rsid w:val="3D1912D6"/>
    <w:rsid w:val="3D37175C"/>
    <w:rsid w:val="3D3E0D74"/>
    <w:rsid w:val="3D5347E8"/>
    <w:rsid w:val="3D74650C"/>
    <w:rsid w:val="3D954E00"/>
    <w:rsid w:val="3D9C62CB"/>
    <w:rsid w:val="3DAA5281"/>
    <w:rsid w:val="3DBE2611"/>
    <w:rsid w:val="3DBF00CF"/>
    <w:rsid w:val="3DE43692"/>
    <w:rsid w:val="3E0B0C1F"/>
    <w:rsid w:val="3E1675C3"/>
    <w:rsid w:val="3E4E4FAF"/>
    <w:rsid w:val="3E543547"/>
    <w:rsid w:val="3E595E2E"/>
    <w:rsid w:val="3E935510"/>
    <w:rsid w:val="3E9C3F6D"/>
    <w:rsid w:val="3F2226C4"/>
    <w:rsid w:val="3F23468E"/>
    <w:rsid w:val="3F23526A"/>
    <w:rsid w:val="3F2504D1"/>
    <w:rsid w:val="3F4F7231"/>
    <w:rsid w:val="3F660E74"/>
    <w:rsid w:val="3FA04EB3"/>
    <w:rsid w:val="3FA23805"/>
    <w:rsid w:val="3FAC4683"/>
    <w:rsid w:val="3FE91814"/>
    <w:rsid w:val="40307062"/>
    <w:rsid w:val="40324B88"/>
    <w:rsid w:val="403666A1"/>
    <w:rsid w:val="404D0E6C"/>
    <w:rsid w:val="404E1DAA"/>
    <w:rsid w:val="407A6407"/>
    <w:rsid w:val="407C4056"/>
    <w:rsid w:val="407F3B46"/>
    <w:rsid w:val="40B557B9"/>
    <w:rsid w:val="40B808FD"/>
    <w:rsid w:val="410D4CAE"/>
    <w:rsid w:val="41151DB4"/>
    <w:rsid w:val="41166258"/>
    <w:rsid w:val="413A0130"/>
    <w:rsid w:val="41452699"/>
    <w:rsid w:val="416B33E0"/>
    <w:rsid w:val="41740E34"/>
    <w:rsid w:val="417425EE"/>
    <w:rsid w:val="41862D01"/>
    <w:rsid w:val="418E2292"/>
    <w:rsid w:val="418F1B67"/>
    <w:rsid w:val="41A03D74"/>
    <w:rsid w:val="41C236CA"/>
    <w:rsid w:val="41CE6B33"/>
    <w:rsid w:val="420E3561"/>
    <w:rsid w:val="42380450"/>
    <w:rsid w:val="42394D8A"/>
    <w:rsid w:val="423A3BCC"/>
    <w:rsid w:val="42515A9D"/>
    <w:rsid w:val="42537038"/>
    <w:rsid w:val="425E25A2"/>
    <w:rsid w:val="429513FF"/>
    <w:rsid w:val="42972733"/>
    <w:rsid w:val="42B15EAB"/>
    <w:rsid w:val="42D948AF"/>
    <w:rsid w:val="42DF267A"/>
    <w:rsid w:val="43144A19"/>
    <w:rsid w:val="4333192F"/>
    <w:rsid w:val="43346E69"/>
    <w:rsid w:val="433A6FE6"/>
    <w:rsid w:val="43487EAF"/>
    <w:rsid w:val="4350713C"/>
    <w:rsid w:val="43544E16"/>
    <w:rsid w:val="43615785"/>
    <w:rsid w:val="436653E0"/>
    <w:rsid w:val="43725E62"/>
    <w:rsid w:val="43741014"/>
    <w:rsid w:val="43746C04"/>
    <w:rsid w:val="4375581F"/>
    <w:rsid w:val="43AE09CA"/>
    <w:rsid w:val="43BD0C0D"/>
    <w:rsid w:val="43BF2BD7"/>
    <w:rsid w:val="43CC52F4"/>
    <w:rsid w:val="43FA3C0F"/>
    <w:rsid w:val="44147613"/>
    <w:rsid w:val="442742D8"/>
    <w:rsid w:val="446B5B00"/>
    <w:rsid w:val="448E6105"/>
    <w:rsid w:val="449F6565"/>
    <w:rsid w:val="44A658DB"/>
    <w:rsid w:val="44C2450D"/>
    <w:rsid w:val="44CD14E0"/>
    <w:rsid w:val="44D31C9D"/>
    <w:rsid w:val="44ED3E5A"/>
    <w:rsid w:val="45022447"/>
    <w:rsid w:val="451231DA"/>
    <w:rsid w:val="4541480C"/>
    <w:rsid w:val="45466415"/>
    <w:rsid w:val="45617CBE"/>
    <w:rsid w:val="458946E9"/>
    <w:rsid w:val="45991B64"/>
    <w:rsid w:val="45CE5353"/>
    <w:rsid w:val="45D61B06"/>
    <w:rsid w:val="45DD7344"/>
    <w:rsid w:val="45E11743"/>
    <w:rsid w:val="45E5269D"/>
    <w:rsid w:val="45ED51BC"/>
    <w:rsid w:val="46244F73"/>
    <w:rsid w:val="464B2231"/>
    <w:rsid w:val="46AE5E8B"/>
    <w:rsid w:val="46D955A7"/>
    <w:rsid w:val="46EA5390"/>
    <w:rsid w:val="46ED1809"/>
    <w:rsid w:val="46F53B97"/>
    <w:rsid w:val="46FA2C55"/>
    <w:rsid w:val="47133957"/>
    <w:rsid w:val="472E597E"/>
    <w:rsid w:val="473828EC"/>
    <w:rsid w:val="47490A0A"/>
    <w:rsid w:val="475C24EB"/>
    <w:rsid w:val="475E44B5"/>
    <w:rsid w:val="4779329E"/>
    <w:rsid w:val="47940724"/>
    <w:rsid w:val="47A07E0C"/>
    <w:rsid w:val="47A11F37"/>
    <w:rsid w:val="47B37D7E"/>
    <w:rsid w:val="47CA03F9"/>
    <w:rsid w:val="47D04464"/>
    <w:rsid w:val="47E13C3A"/>
    <w:rsid w:val="47E30E5E"/>
    <w:rsid w:val="48194880"/>
    <w:rsid w:val="482A1A6E"/>
    <w:rsid w:val="4870272E"/>
    <w:rsid w:val="48751F9C"/>
    <w:rsid w:val="48897310"/>
    <w:rsid w:val="48981C49"/>
    <w:rsid w:val="489F24E0"/>
    <w:rsid w:val="48DB522F"/>
    <w:rsid w:val="48FA1700"/>
    <w:rsid w:val="49105636"/>
    <w:rsid w:val="4937506D"/>
    <w:rsid w:val="493C4382"/>
    <w:rsid w:val="49634005"/>
    <w:rsid w:val="49642D57"/>
    <w:rsid w:val="4965328F"/>
    <w:rsid w:val="496C46E1"/>
    <w:rsid w:val="497538B5"/>
    <w:rsid w:val="497B7E25"/>
    <w:rsid w:val="49A77509"/>
    <w:rsid w:val="49A800A8"/>
    <w:rsid w:val="49D44D0E"/>
    <w:rsid w:val="49DC7715"/>
    <w:rsid w:val="49E36EF3"/>
    <w:rsid w:val="4A023139"/>
    <w:rsid w:val="4A550712"/>
    <w:rsid w:val="4A7B576F"/>
    <w:rsid w:val="4A9D3546"/>
    <w:rsid w:val="4AB90665"/>
    <w:rsid w:val="4ABA5EA6"/>
    <w:rsid w:val="4AD60806"/>
    <w:rsid w:val="4AE51BC9"/>
    <w:rsid w:val="4AF64A04"/>
    <w:rsid w:val="4B0735C9"/>
    <w:rsid w:val="4B1D6435"/>
    <w:rsid w:val="4B490FD8"/>
    <w:rsid w:val="4B6444D1"/>
    <w:rsid w:val="4B9F509C"/>
    <w:rsid w:val="4BB02E05"/>
    <w:rsid w:val="4BBB2597"/>
    <w:rsid w:val="4C426A60"/>
    <w:rsid w:val="4C4719BC"/>
    <w:rsid w:val="4C4A0649"/>
    <w:rsid w:val="4C5E445B"/>
    <w:rsid w:val="4CB16E35"/>
    <w:rsid w:val="4CD621AA"/>
    <w:rsid w:val="4CE470D3"/>
    <w:rsid w:val="4D0A29E9"/>
    <w:rsid w:val="4D0E70AC"/>
    <w:rsid w:val="4D357A66"/>
    <w:rsid w:val="4D6B16DA"/>
    <w:rsid w:val="4D8207D1"/>
    <w:rsid w:val="4D8F52CB"/>
    <w:rsid w:val="4D9626D8"/>
    <w:rsid w:val="4DC70F23"/>
    <w:rsid w:val="4DCB01B8"/>
    <w:rsid w:val="4DEC4FB0"/>
    <w:rsid w:val="4E075D8A"/>
    <w:rsid w:val="4E087DE7"/>
    <w:rsid w:val="4E5C73FF"/>
    <w:rsid w:val="4E5F38DD"/>
    <w:rsid w:val="4EA330F5"/>
    <w:rsid w:val="4EAC09E0"/>
    <w:rsid w:val="4EB05C4B"/>
    <w:rsid w:val="4EBC0DCE"/>
    <w:rsid w:val="4F0C78AF"/>
    <w:rsid w:val="4F253B0A"/>
    <w:rsid w:val="4F384153"/>
    <w:rsid w:val="4F3C2FF7"/>
    <w:rsid w:val="4F6B59C1"/>
    <w:rsid w:val="4F702FD7"/>
    <w:rsid w:val="4F711713"/>
    <w:rsid w:val="4F813436"/>
    <w:rsid w:val="4F934F18"/>
    <w:rsid w:val="4F9F566B"/>
    <w:rsid w:val="4FAD5FDA"/>
    <w:rsid w:val="4FBF3F5F"/>
    <w:rsid w:val="4FC62A8C"/>
    <w:rsid w:val="4FE20F0D"/>
    <w:rsid w:val="4FF05EC6"/>
    <w:rsid w:val="4FF82FCD"/>
    <w:rsid w:val="502344EE"/>
    <w:rsid w:val="50242014"/>
    <w:rsid w:val="5032511F"/>
    <w:rsid w:val="50504C4B"/>
    <w:rsid w:val="505A5A36"/>
    <w:rsid w:val="50722D7F"/>
    <w:rsid w:val="5075436E"/>
    <w:rsid w:val="508A00C9"/>
    <w:rsid w:val="509C4492"/>
    <w:rsid w:val="509C6E7C"/>
    <w:rsid w:val="50A75B54"/>
    <w:rsid w:val="50FA6AF3"/>
    <w:rsid w:val="50FE4613"/>
    <w:rsid w:val="512E6A9A"/>
    <w:rsid w:val="51514AF5"/>
    <w:rsid w:val="5162104E"/>
    <w:rsid w:val="516C7D38"/>
    <w:rsid w:val="51B604D8"/>
    <w:rsid w:val="51C969CF"/>
    <w:rsid w:val="525C5A95"/>
    <w:rsid w:val="528029E2"/>
    <w:rsid w:val="5289067D"/>
    <w:rsid w:val="528F5E6A"/>
    <w:rsid w:val="5295561F"/>
    <w:rsid w:val="52CF44B9"/>
    <w:rsid w:val="52E77F2A"/>
    <w:rsid w:val="52F201A7"/>
    <w:rsid w:val="53016EFE"/>
    <w:rsid w:val="530D4FE1"/>
    <w:rsid w:val="5325057D"/>
    <w:rsid w:val="534F296A"/>
    <w:rsid w:val="535776FE"/>
    <w:rsid w:val="53784B50"/>
    <w:rsid w:val="5387082C"/>
    <w:rsid w:val="539F4C8A"/>
    <w:rsid w:val="53A039CC"/>
    <w:rsid w:val="53A07C03"/>
    <w:rsid w:val="53A1505A"/>
    <w:rsid w:val="53A97FF0"/>
    <w:rsid w:val="53C315D6"/>
    <w:rsid w:val="53D53D51"/>
    <w:rsid w:val="53FA5565"/>
    <w:rsid w:val="54063E08"/>
    <w:rsid w:val="540C5299"/>
    <w:rsid w:val="541D3002"/>
    <w:rsid w:val="54214EF1"/>
    <w:rsid w:val="54335B48"/>
    <w:rsid w:val="543437E8"/>
    <w:rsid w:val="544B7B6F"/>
    <w:rsid w:val="54770964"/>
    <w:rsid w:val="54922E51"/>
    <w:rsid w:val="549D325E"/>
    <w:rsid w:val="54B62810"/>
    <w:rsid w:val="54E029AD"/>
    <w:rsid w:val="54EA0F6C"/>
    <w:rsid w:val="54ED50CA"/>
    <w:rsid w:val="54F61F69"/>
    <w:rsid w:val="55032E10"/>
    <w:rsid w:val="55103AE6"/>
    <w:rsid w:val="55284354"/>
    <w:rsid w:val="55590643"/>
    <w:rsid w:val="55731FB9"/>
    <w:rsid w:val="55780E38"/>
    <w:rsid w:val="55927F4A"/>
    <w:rsid w:val="559B0682"/>
    <w:rsid w:val="559B174B"/>
    <w:rsid w:val="55BD4A9D"/>
    <w:rsid w:val="55CE0CF4"/>
    <w:rsid w:val="562501E7"/>
    <w:rsid w:val="563805C7"/>
    <w:rsid w:val="564360F2"/>
    <w:rsid w:val="56521689"/>
    <w:rsid w:val="56813763"/>
    <w:rsid w:val="56B22A9C"/>
    <w:rsid w:val="56B57E6A"/>
    <w:rsid w:val="56C07766"/>
    <w:rsid w:val="56D24578"/>
    <w:rsid w:val="57212E09"/>
    <w:rsid w:val="57333A49"/>
    <w:rsid w:val="57390153"/>
    <w:rsid w:val="57476D14"/>
    <w:rsid w:val="576176AA"/>
    <w:rsid w:val="576C677A"/>
    <w:rsid w:val="57770C7B"/>
    <w:rsid w:val="579F1889"/>
    <w:rsid w:val="57A21429"/>
    <w:rsid w:val="57B72A76"/>
    <w:rsid w:val="57C43CD8"/>
    <w:rsid w:val="57D91382"/>
    <w:rsid w:val="57EA1107"/>
    <w:rsid w:val="57EC1669"/>
    <w:rsid w:val="57F563D4"/>
    <w:rsid w:val="580A59C7"/>
    <w:rsid w:val="580B68A9"/>
    <w:rsid w:val="583C439E"/>
    <w:rsid w:val="585D00C7"/>
    <w:rsid w:val="586E02D0"/>
    <w:rsid w:val="58727DC0"/>
    <w:rsid w:val="5875165E"/>
    <w:rsid w:val="58825B29"/>
    <w:rsid w:val="58885E9F"/>
    <w:rsid w:val="58894DEA"/>
    <w:rsid w:val="58970D9C"/>
    <w:rsid w:val="58CD4FF7"/>
    <w:rsid w:val="58D053E0"/>
    <w:rsid w:val="58DB73AF"/>
    <w:rsid w:val="58F00CE5"/>
    <w:rsid w:val="5968095B"/>
    <w:rsid w:val="599849F3"/>
    <w:rsid w:val="59AA3524"/>
    <w:rsid w:val="59EF71EF"/>
    <w:rsid w:val="59F914CE"/>
    <w:rsid w:val="5A1B7FE4"/>
    <w:rsid w:val="5A276988"/>
    <w:rsid w:val="5A3A10D3"/>
    <w:rsid w:val="5A3C747D"/>
    <w:rsid w:val="5A597744"/>
    <w:rsid w:val="5A5B7629"/>
    <w:rsid w:val="5A5F6122"/>
    <w:rsid w:val="5A67136F"/>
    <w:rsid w:val="5A6E782F"/>
    <w:rsid w:val="5A7A7400"/>
    <w:rsid w:val="5A87203E"/>
    <w:rsid w:val="5AA004E9"/>
    <w:rsid w:val="5ABE2233"/>
    <w:rsid w:val="5ACC12DE"/>
    <w:rsid w:val="5AD07020"/>
    <w:rsid w:val="5AD36B10"/>
    <w:rsid w:val="5AD92379"/>
    <w:rsid w:val="5B044F1C"/>
    <w:rsid w:val="5B1E422F"/>
    <w:rsid w:val="5B256A6B"/>
    <w:rsid w:val="5B276D18"/>
    <w:rsid w:val="5B447ADE"/>
    <w:rsid w:val="5B4C2BEE"/>
    <w:rsid w:val="5B70610D"/>
    <w:rsid w:val="5B8816A9"/>
    <w:rsid w:val="5BAD110F"/>
    <w:rsid w:val="5BDD5DA4"/>
    <w:rsid w:val="5BDF5D95"/>
    <w:rsid w:val="5BE014E5"/>
    <w:rsid w:val="5BE064AE"/>
    <w:rsid w:val="5BE2525D"/>
    <w:rsid w:val="5BEA12ED"/>
    <w:rsid w:val="5BED3C02"/>
    <w:rsid w:val="5C001082"/>
    <w:rsid w:val="5C1D5966"/>
    <w:rsid w:val="5C4750C0"/>
    <w:rsid w:val="5C9D1184"/>
    <w:rsid w:val="5D2A2868"/>
    <w:rsid w:val="5D504448"/>
    <w:rsid w:val="5D541739"/>
    <w:rsid w:val="5D5E6B65"/>
    <w:rsid w:val="5D8B722E"/>
    <w:rsid w:val="5D9E6F62"/>
    <w:rsid w:val="5DA65748"/>
    <w:rsid w:val="5DD40427"/>
    <w:rsid w:val="5DDE1A54"/>
    <w:rsid w:val="5DF87A0F"/>
    <w:rsid w:val="5E135BA1"/>
    <w:rsid w:val="5E671693"/>
    <w:rsid w:val="5EF30A1B"/>
    <w:rsid w:val="5F1A2B43"/>
    <w:rsid w:val="5F3E2C00"/>
    <w:rsid w:val="5F4104EC"/>
    <w:rsid w:val="5F700DD2"/>
    <w:rsid w:val="5F750196"/>
    <w:rsid w:val="5F7A39FE"/>
    <w:rsid w:val="5F8F71EC"/>
    <w:rsid w:val="5FA1172A"/>
    <w:rsid w:val="5FA666FE"/>
    <w:rsid w:val="5FB76A00"/>
    <w:rsid w:val="5FB837BB"/>
    <w:rsid w:val="5FC829BC"/>
    <w:rsid w:val="5FD316BF"/>
    <w:rsid w:val="5FDD6614"/>
    <w:rsid w:val="5FEB2206"/>
    <w:rsid w:val="5FF732A1"/>
    <w:rsid w:val="60077078"/>
    <w:rsid w:val="60395667"/>
    <w:rsid w:val="60894626"/>
    <w:rsid w:val="60903494"/>
    <w:rsid w:val="60911691"/>
    <w:rsid w:val="609B2A61"/>
    <w:rsid w:val="611044C3"/>
    <w:rsid w:val="611834CF"/>
    <w:rsid w:val="61355632"/>
    <w:rsid w:val="615C33BC"/>
    <w:rsid w:val="616A4C51"/>
    <w:rsid w:val="61A875E6"/>
    <w:rsid w:val="61B7412F"/>
    <w:rsid w:val="61C30C5E"/>
    <w:rsid w:val="61C96577"/>
    <w:rsid w:val="61DA7B4A"/>
    <w:rsid w:val="61E22F25"/>
    <w:rsid w:val="61E82EA1"/>
    <w:rsid w:val="620C6AD0"/>
    <w:rsid w:val="62364782"/>
    <w:rsid w:val="624438CC"/>
    <w:rsid w:val="626B0816"/>
    <w:rsid w:val="627E3805"/>
    <w:rsid w:val="62835046"/>
    <w:rsid w:val="6286459E"/>
    <w:rsid w:val="629923ED"/>
    <w:rsid w:val="62AE56AE"/>
    <w:rsid w:val="62C61C59"/>
    <w:rsid w:val="62CF2A1E"/>
    <w:rsid w:val="62EE2739"/>
    <w:rsid w:val="62FA36B1"/>
    <w:rsid w:val="630821B6"/>
    <w:rsid w:val="632E2B36"/>
    <w:rsid w:val="63464323"/>
    <w:rsid w:val="635307EE"/>
    <w:rsid w:val="63576530"/>
    <w:rsid w:val="63615056"/>
    <w:rsid w:val="63CD2869"/>
    <w:rsid w:val="63CF6769"/>
    <w:rsid w:val="63D40BE9"/>
    <w:rsid w:val="63E0211F"/>
    <w:rsid w:val="6401024A"/>
    <w:rsid w:val="642F125B"/>
    <w:rsid w:val="643E149E"/>
    <w:rsid w:val="646B11DF"/>
    <w:rsid w:val="646C600B"/>
    <w:rsid w:val="64B61035"/>
    <w:rsid w:val="64C01EB3"/>
    <w:rsid w:val="64DA2918"/>
    <w:rsid w:val="65053D6A"/>
    <w:rsid w:val="650E0E71"/>
    <w:rsid w:val="6529060A"/>
    <w:rsid w:val="65373578"/>
    <w:rsid w:val="65801643"/>
    <w:rsid w:val="65A6554D"/>
    <w:rsid w:val="65AB2B63"/>
    <w:rsid w:val="65B24457"/>
    <w:rsid w:val="65D379C4"/>
    <w:rsid w:val="660404C6"/>
    <w:rsid w:val="662B18B7"/>
    <w:rsid w:val="662D4E23"/>
    <w:rsid w:val="662F72F1"/>
    <w:rsid w:val="6659611C"/>
    <w:rsid w:val="669C5E64"/>
    <w:rsid w:val="66AD290B"/>
    <w:rsid w:val="66C20165"/>
    <w:rsid w:val="66CA3897"/>
    <w:rsid w:val="67167D84"/>
    <w:rsid w:val="673F2C7A"/>
    <w:rsid w:val="674C151B"/>
    <w:rsid w:val="67954B54"/>
    <w:rsid w:val="67A46A60"/>
    <w:rsid w:val="67C223E6"/>
    <w:rsid w:val="67D13E57"/>
    <w:rsid w:val="67D971F6"/>
    <w:rsid w:val="68093B71"/>
    <w:rsid w:val="681F6961"/>
    <w:rsid w:val="682409AB"/>
    <w:rsid w:val="682730F1"/>
    <w:rsid w:val="685E3EBD"/>
    <w:rsid w:val="68610A2F"/>
    <w:rsid w:val="68761FE1"/>
    <w:rsid w:val="687D1AFF"/>
    <w:rsid w:val="68805514"/>
    <w:rsid w:val="688356D2"/>
    <w:rsid w:val="68A85138"/>
    <w:rsid w:val="68B910F3"/>
    <w:rsid w:val="68C63810"/>
    <w:rsid w:val="694E2071"/>
    <w:rsid w:val="696A6892"/>
    <w:rsid w:val="697A3B33"/>
    <w:rsid w:val="69935DE8"/>
    <w:rsid w:val="699E2456"/>
    <w:rsid w:val="69B83AA1"/>
    <w:rsid w:val="6A222CC8"/>
    <w:rsid w:val="6A3944D6"/>
    <w:rsid w:val="6A445335"/>
    <w:rsid w:val="6A797D44"/>
    <w:rsid w:val="6A7C7DDD"/>
    <w:rsid w:val="6AD62431"/>
    <w:rsid w:val="6ADC036A"/>
    <w:rsid w:val="6ADC65C6"/>
    <w:rsid w:val="6B21130D"/>
    <w:rsid w:val="6B322639"/>
    <w:rsid w:val="6B584C59"/>
    <w:rsid w:val="6B713F07"/>
    <w:rsid w:val="6B8E7DA4"/>
    <w:rsid w:val="6BA047ED"/>
    <w:rsid w:val="6BA25323"/>
    <w:rsid w:val="6BA442DD"/>
    <w:rsid w:val="6BB362CE"/>
    <w:rsid w:val="6C040F0E"/>
    <w:rsid w:val="6C2076DB"/>
    <w:rsid w:val="6C2732D4"/>
    <w:rsid w:val="6C2779FF"/>
    <w:rsid w:val="6C376EFF"/>
    <w:rsid w:val="6C496C32"/>
    <w:rsid w:val="6C5268E5"/>
    <w:rsid w:val="6C636C38"/>
    <w:rsid w:val="6C7964CA"/>
    <w:rsid w:val="6CA43E69"/>
    <w:rsid w:val="6CB00A5F"/>
    <w:rsid w:val="6CBF6EF4"/>
    <w:rsid w:val="6CE13232"/>
    <w:rsid w:val="6CFE7A1D"/>
    <w:rsid w:val="6D534EAA"/>
    <w:rsid w:val="6D5533B5"/>
    <w:rsid w:val="6D7E04A7"/>
    <w:rsid w:val="6D7E2D8E"/>
    <w:rsid w:val="6D8343C6"/>
    <w:rsid w:val="6D8617C0"/>
    <w:rsid w:val="6DB34098"/>
    <w:rsid w:val="6DB545B6"/>
    <w:rsid w:val="6DDD3AD6"/>
    <w:rsid w:val="6E4375A0"/>
    <w:rsid w:val="6E476491"/>
    <w:rsid w:val="6E514CED"/>
    <w:rsid w:val="6E781A51"/>
    <w:rsid w:val="6E79491A"/>
    <w:rsid w:val="6E93207D"/>
    <w:rsid w:val="6EB1286D"/>
    <w:rsid w:val="6EB53936"/>
    <w:rsid w:val="6EB563D5"/>
    <w:rsid w:val="6EB96263"/>
    <w:rsid w:val="6EF638A5"/>
    <w:rsid w:val="6F0E7CBF"/>
    <w:rsid w:val="6F0F4163"/>
    <w:rsid w:val="6F225983"/>
    <w:rsid w:val="6F4B4A6F"/>
    <w:rsid w:val="6F71097A"/>
    <w:rsid w:val="6F983387"/>
    <w:rsid w:val="6F9C06E5"/>
    <w:rsid w:val="6FA77EA0"/>
    <w:rsid w:val="6FAF4FFE"/>
    <w:rsid w:val="6FB969F4"/>
    <w:rsid w:val="6FBC5841"/>
    <w:rsid w:val="6FE729EA"/>
    <w:rsid w:val="6FFC5590"/>
    <w:rsid w:val="701D01BA"/>
    <w:rsid w:val="70301DA3"/>
    <w:rsid w:val="703A36BF"/>
    <w:rsid w:val="70441BEA"/>
    <w:rsid w:val="706A31E5"/>
    <w:rsid w:val="706D1DD0"/>
    <w:rsid w:val="70755EE8"/>
    <w:rsid w:val="70856B87"/>
    <w:rsid w:val="70983CE4"/>
    <w:rsid w:val="70B8410C"/>
    <w:rsid w:val="70D34D1C"/>
    <w:rsid w:val="70D527EE"/>
    <w:rsid w:val="70E150EF"/>
    <w:rsid w:val="70F33611"/>
    <w:rsid w:val="710A0DE2"/>
    <w:rsid w:val="71153587"/>
    <w:rsid w:val="7131029F"/>
    <w:rsid w:val="713F0604"/>
    <w:rsid w:val="71535E5D"/>
    <w:rsid w:val="715B5300"/>
    <w:rsid w:val="715F4BD7"/>
    <w:rsid w:val="7186296C"/>
    <w:rsid w:val="719F5BDF"/>
    <w:rsid w:val="71A072F4"/>
    <w:rsid w:val="71D27F8A"/>
    <w:rsid w:val="71D9385C"/>
    <w:rsid w:val="71EA0570"/>
    <w:rsid w:val="71F744C6"/>
    <w:rsid w:val="71F960CF"/>
    <w:rsid w:val="728221C1"/>
    <w:rsid w:val="7289422C"/>
    <w:rsid w:val="728A3ABA"/>
    <w:rsid w:val="729F135A"/>
    <w:rsid w:val="72A16523"/>
    <w:rsid w:val="72A746B3"/>
    <w:rsid w:val="72C1593C"/>
    <w:rsid w:val="72CF053F"/>
    <w:rsid w:val="72DB610A"/>
    <w:rsid w:val="731F5D5E"/>
    <w:rsid w:val="732C59B5"/>
    <w:rsid w:val="733E17AF"/>
    <w:rsid w:val="734819F2"/>
    <w:rsid w:val="736D3206"/>
    <w:rsid w:val="738A025C"/>
    <w:rsid w:val="73DE7D66"/>
    <w:rsid w:val="73E13B16"/>
    <w:rsid w:val="73E334C8"/>
    <w:rsid w:val="74130252"/>
    <w:rsid w:val="741E793C"/>
    <w:rsid w:val="744228E5"/>
    <w:rsid w:val="745B25CA"/>
    <w:rsid w:val="746740F9"/>
    <w:rsid w:val="74730CF0"/>
    <w:rsid w:val="747846C3"/>
    <w:rsid w:val="74896245"/>
    <w:rsid w:val="748E1122"/>
    <w:rsid w:val="74B83297"/>
    <w:rsid w:val="74C652C4"/>
    <w:rsid w:val="74E24BCD"/>
    <w:rsid w:val="74FF2584"/>
    <w:rsid w:val="753D4E5A"/>
    <w:rsid w:val="75481873"/>
    <w:rsid w:val="75543C54"/>
    <w:rsid w:val="756B5E6B"/>
    <w:rsid w:val="758D75E2"/>
    <w:rsid w:val="75BD46DB"/>
    <w:rsid w:val="75D94B83"/>
    <w:rsid w:val="760F4A49"/>
    <w:rsid w:val="76143E0D"/>
    <w:rsid w:val="7662726E"/>
    <w:rsid w:val="76780840"/>
    <w:rsid w:val="76810114"/>
    <w:rsid w:val="769211D6"/>
    <w:rsid w:val="76CE0460"/>
    <w:rsid w:val="77287309"/>
    <w:rsid w:val="77400C32"/>
    <w:rsid w:val="776E4D28"/>
    <w:rsid w:val="777032C5"/>
    <w:rsid w:val="77762421"/>
    <w:rsid w:val="77775173"/>
    <w:rsid w:val="77AD276B"/>
    <w:rsid w:val="77BE04D4"/>
    <w:rsid w:val="77C5609A"/>
    <w:rsid w:val="77C71871"/>
    <w:rsid w:val="77D71596"/>
    <w:rsid w:val="77E90D1D"/>
    <w:rsid w:val="780F09F4"/>
    <w:rsid w:val="78597FC3"/>
    <w:rsid w:val="785A41EF"/>
    <w:rsid w:val="788D60F9"/>
    <w:rsid w:val="78964FAD"/>
    <w:rsid w:val="789B6A68"/>
    <w:rsid w:val="789C4F47"/>
    <w:rsid w:val="78A3591C"/>
    <w:rsid w:val="78A551F0"/>
    <w:rsid w:val="78A90480"/>
    <w:rsid w:val="78BF6145"/>
    <w:rsid w:val="78CA7FF1"/>
    <w:rsid w:val="78E15420"/>
    <w:rsid w:val="78F817C4"/>
    <w:rsid w:val="79116D2A"/>
    <w:rsid w:val="792425B9"/>
    <w:rsid w:val="794C71C1"/>
    <w:rsid w:val="79534C4C"/>
    <w:rsid w:val="79667075"/>
    <w:rsid w:val="79790FCF"/>
    <w:rsid w:val="79811327"/>
    <w:rsid w:val="798968C0"/>
    <w:rsid w:val="799E680F"/>
    <w:rsid w:val="79A92B2C"/>
    <w:rsid w:val="79B7167F"/>
    <w:rsid w:val="79C30024"/>
    <w:rsid w:val="7A0E3C66"/>
    <w:rsid w:val="7A1F6EE6"/>
    <w:rsid w:val="7A364017"/>
    <w:rsid w:val="7A4A42A1"/>
    <w:rsid w:val="7A5A025C"/>
    <w:rsid w:val="7A8265E1"/>
    <w:rsid w:val="7A8B7E49"/>
    <w:rsid w:val="7A8D23E0"/>
    <w:rsid w:val="7A9E45ED"/>
    <w:rsid w:val="7AA63662"/>
    <w:rsid w:val="7ADB75EF"/>
    <w:rsid w:val="7AE6195B"/>
    <w:rsid w:val="7AEA15E0"/>
    <w:rsid w:val="7AF56E0E"/>
    <w:rsid w:val="7AF83CFD"/>
    <w:rsid w:val="7B042559"/>
    <w:rsid w:val="7B1448AF"/>
    <w:rsid w:val="7B686D42"/>
    <w:rsid w:val="7B783090"/>
    <w:rsid w:val="7B8408D3"/>
    <w:rsid w:val="7B841746"/>
    <w:rsid w:val="7B914152"/>
    <w:rsid w:val="7BD76009"/>
    <w:rsid w:val="7BE85DEE"/>
    <w:rsid w:val="7C0A3E8D"/>
    <w:rsid w:val="7C1A4147"/>
    <w:rsid w:val="7C1B7C6D"/>
    <w:rsid w:val="7C3B62FE"/>
    <w:rsid w:val="7C444E3F"/>
    <w:rsid w:val="7C786539"/>
    <w:rsid w:val="7C890850"/>
    <w:rsid w:val="7C890B90"/>
    <w:rsid w:val="7C9F63FA"/>
    <w:rsid w:val="7CAB2FF1"/>
    <w:rsid w:val="7CC15684"/>
    <w:rsid w:val="7CC6608C"/>
    <w:rsid w:val="7CD417CC"/>
    <w:rsid w:val="7CD86ED0"/>
    <w:rsid w:val="7CE85FF3"/>
    <w:rsid w:val="7CF95B0B"/>
    <w:rsid w:val="7D0239FF"/>
    <w:rsid w:val="7D085C04"/>
    <w:rsid w:val="7D4F6073"/>
    <w:rsid w:val="7D581ACB"/>
    <w:rsid w:val="7D5E40CD"/>
    <w:rsid w:val="7D693BED"/>
    <w:rsid w:val="7D8775BA"/>
    <w:rsid w:val="7DA97531"/>
    <w:rsid w:val="7DB119FE"/>
    <w:rsid w:val="7DB91389"/>
    <w:rsid w:val="7E2F6A52"/>
    <w:rsid w:val="7E420EFD"/>
    <w:rsid w:val="7E4454AB"/>
    <w:rsid w:val="7E696CC0"/>
    <w:rsid w:val="7EC02D84"/>
    <w:rsid w:val="7EC23104"/>
    <w:rsid w:val="7F1629D0"/>
    <w:rsid w:val="7F761695"/>
    <w:rsid w:val="7F7B4EFD"/>
    <w:rsid w:val="7F7E4D9B"/>
    <w:rsid w:val="7F853FCE"/>
    <w:rsid w:val="7FD92881"/>
    <w:rsid w:val="7FE47E50"/>
    <w:rsid w:val="7FE5681A"/>
    <w:rsid w:val="7FEA5B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ocked="1"/>
    <w:lsdException w:qFormat="1" w:uiPriority="9"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qFormat="1" w:unhideWhenUsed="0" w:uiPriority="39"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9" w:semiHidden="0" w:name="Block Text"/>
    <w:lsdException w:qFormat="1" w:uiPriority="99" w:semiHidden="0" w:name="Hyperlink"/>
    <w:lsdException w:unhideWhenUsed="0" w:uiPriority="0" w:semiHidden="0" w:name="FollowedHyperlink"/>
    <w:lsdException w:qFormat="1" w:unhideWhenUsed="0" w:uiPriority="0" w:semiHidden="0" w:name="Strong" w:locked="1"/>
    <w:lsdException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87"/>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locked/>
    <w:uiPriority w:val="9"/>
    <w:pPr>
      <w:keepNext/>
      <w:keepLines/>
      <w:numPr>
        <w:ilvl w:val="2"/>
        <w:numId w:val="1"/>
      </w:numPr>
      <w:ind w:firstLineChars="0"/>
      <w:outlineLvl w:val="2"/>
    </w:pPr>
    <w:rPr>
      <w:rFonts w:cstheme="majorBidi"/>
      <w:b/>
      <w:sz w:val="28"/>
      <w:szCs w:val="32"/>
    </w:rPr>
  </w:style>
  <w:style w:type="paragraph" w:styleId="5">
    <w:name w:val="heading 4"/>
    <w:basedOn w:val="1"/>
    <w:next w:val="1"/>
    <w:qFormat/>
    <w:locked/>
    <w:uiPriority w:val="0"/>
    <w:pPr>
      <w:keepNext/>
      <w:keepLines/>
      <w:ind w:firstLine="0" w:firstLineChars="0"/>
      <w:outlineLvl w:val="3"/>
    </w:pPr>
    <w:rPr>
      <w:rFonts w:eastAsia="黑体"/>
      <w:b/>
      <w:bCs/>
      <w:sz w:val="28"/>
      <w:szCs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6">
    <w:name w:val="table of authorities"/>
    <w:basedOn w:val="1"/>
    <w:next w:val="1"/>
    <w:qFormat/>
    <w:uiPriority w:val="0"/>
    <w:pPr>
      <w:ind w:left="420" w:leftChars="200"/>
    </w:pPr>
  </w:style>
  <w:style w:type="paragraph" w:styleId="7">
    <w:name w:val="caption"/>
    <w:basedOn w:val="1"/>
    <w:next w:val="1"/>
    <w:unhideWhenUsed/>
    <w:qFormat/>
    <w:locked/>
    <w:uiPriority w:val="35"/>
    <w:pPr>
      <w:ind w:firstLine="0" w:firstLineChars="0"/>
      <w:jc w:val="center"/>
    </w:pPr>
    <w:rPr>
      <w:rFonts w:cstheme="majorBidi"/>
      <w:b/>
      <w:szCs w:val="20"/>
    </w:rPr>
  </w:style>
  <w:style w:type="paragraph" w:styleId="8">
    <w:name w:val="annotation text"/>
    <w:basedOn w:val="1"/>
    <w:link w:val="44"/>
    <w:qFormat/>
    <w:uiPriority w:val="99"/>
    <w:pPr>
      <w:jc w:val="left"/>
    </w:pPr>
    <w:rPr>
      <w:kern w:val="0"/>
      <w:sz w:val="20"/>
    </w:rPr>
  </w:style>
  <w:style w:type="paragraph" w:styleId="9">
    <w:name w:val="Body Text"/>
    <w:basedOn w:val="1"/>
    <w:next w:val="1"/>
    <w:link w:val="35"/>
    <w:qFormat/>
    <w:uiPriority w:val="0"/>
    <w:pPr>
      <w:widowControl/>
      <w:snapToGrid w:val="0"/>
      <w:spacing w:before="60" w:after="160" w:line="259" w:lineRule="auto"/>
      <w:ind w:right="113"/>
    </w:pPr>
    <w:rPr>
      <w:kern w:val="0"/>
      <w:sz w:val="18"/>
      <w:szCs w:val="18"/>
    </w:rPr>
  </w:style>
  <w:style w:type="paragraph" w:styleId="10">
    <w:name w:val="Body Text Indent"/>
    <w:basedOn w:val="1"/>
    <w:next w:val="9"/>
    <w:link w:val="46"/>
    <w:semiHidden/>
    <w:qFormat/>
    <w:uiPriority w:val="0"/>
    <w:pPr>
      <w:spacing w:after="120"/>
      <w:ind w:left="420" w:leftChars="200"/>
    </w:pPr>
  </w:style>
  <w:style w:type="paragraph" w:styleId="11">
    <w:name w:val="Block Text"/>
    <w:basedOn w:val="1"/>
    <w:unhideWhenUsed/>
    <w:qFormat/>
    <w:uiPriority w:val="99"/>
    <w:pPr>
      <w:spacing w:after="120" w:afterLines="0" w:afterAutospacing="0"/>
      <w:ind w:left="1440" w:leftChars="700" w:rightChars="700"/>
    </w:pPr>
  </w:style>
  <w:style w:type="paragraph" w:styleId="12">
    <w:name w:val="Plain Text"/>
    <w:basedOn w:val="1"/>
    <w:link w:val="66"/>
    <w:qFormat/>
    <w:uiPriority w:val="0"/>
    <w:pPr>
      <w:wordWrap w:val="0"/>
      <w:spacing w:line="360" w:lineRule="auto"/>
      <w:ind w:firstLine="200" w:firstLineChars="200"/>
    </w:pPr>
    <w:rPr>
      <w:rFonts w:ascii="宋体" w:hAnsi="Courier New"/>
      <w:sz w:val="32"/>
      <w:szCs w:val="20"/>
    </w:rPr>
  </w:style>
  <w:style w:type="paragraph" w:styleId="13">
    <w:name w:val="toc 8"/>
    <w:basedOn w:val="1"/>
    <w:next w:val="1"/>
    <w:qFormat/>
    <w:locked/>
    <w:uiPriority w:val="39"/>
    <w:pPr>
      <w:ind w:left="2940" w:leftChars="1400"/>
    </w:pPr>
    <w:rPr>
      <w:szCs w:val="22"/>
    </w:rPr>
  </w:style>
  <w:style w:type="paragraph" w:styleId="14">
    <w:name w:val="Date"/>
    <w:basedOn w:val="1"/>
    <w:next w:val="1"/>
    <w:link w:val="37"/>
    <w:qFormat/>
    <w:uiPriority w:val="0"/>
    <w:pPr>
      <w:ind w:left="100" w:leftChars="2500"/>
    </w:pPr>
    <w:rPr>
      <w:kern w:val="0"/>
      <w:sz w:val="20"/>
    </w:rPr>
  </w:style>
  <w:style w:type="paragraph" w:styleId="15">
    <w:name w:val="Balloon Text"/>
    <w:basedOn w:val="1"/>
    <w:link w:val="43"/>
    <w:semiHidden/>
    <w:qFormat/>
    <w:uiPriority w:val="0"/>
    <w:rPr>
      <w:sz w:val="18"/>
      <w:szCs w:val="18"/>
    </w:rPr>
  </w:style>
  <w:style w:type="paragraph" w:styleId="16">
    <w:name w:val="footer"/>
    <w:basedOn w:val="1"/>
    <w:link w:val="34"/>
    <w:qFormat/>
    <w:uiPriority w:val="0"/>
    <w:pPr>
      <w:tabs>
        <w:tab w:val="center" w:pos="4153"/>
        <w:tab w:val="right" w:pos="8306"/>
      </w:tabs>
      <w:snapToGrid w:val="0"/>
      <w:jc w:val="left"/>
    </w:pPr>
    <w:rPr>
      <w:sz w:val="18"/>
      <w:szCs w:val="18"/>
    </w:rPr>
  </w:style>
  <w:style w:type="paragraph" w:styleId="17">
    <w:name w:val="header"/>
    <w:basedOn w:val="1"/>
    <w:next w:val="11"/>
    <w:link w:val="33"/>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autoRedefine/>
    <w:qFormat/>
    <w:locked/>
    <w:uiPriority w:val="39"/>
    <w:pPr>
      <w:tabs>
        <w:tab w:val="right" w:leader="dot" w:pos="8834"/>
      </w:tabs>
    </w:pPr>
  </w:style>
  <w:style w:type="paragraph" w:styleId="19">
    <w:name w:val="Subtitle"/>
    <w:basedOn w:val="1"/>
    <w:next w:val="1"/>
    <w:link w:val="65"/>
    <w:qFormat/>
    <w:locked/>
    <w:uiPriority w:val="0"/>
    <w:pPr>
      <w:spacing w:before="240" w:after="60" w:line="312" w:lineRule="auto"/>
      <w:jc w:val="center"/>
      <w:outlineLvl w:val="1"/>
    </w:pPr>
    <w:rPr>
      <w:rFonts w:asciiTheme="minorHAnsi" w:hAnsiTheme="minorHAnsi" w:eastAsiaTheme="minorEastAsia" w:cstheme="minorBidi"/>
      <w:b/>
      <w:bCs/>
      <w:kern w:val="28"/>
      <w:sz w:val="32"/>
      <w:szCs w:val="32"/>
    </w:rPr>
  </w:style>
  <w:style w:type="paragraph" w:styleId="20">
    <w:name w:val="List"/>
    <w:basedOn w:val="1"/>
    <w:unhideWhenUsed/>
    <w:qFormat/>
    <w:uiPriority w:val="99"/>
    <w:pPr>
      <w:ind w:left="200" w:hanging="200" w:hangingChars="200"/>
      <w:contextualSpacing/>
    </w:pPr>
  </w:style>
  <w:style w:type="paragraph" w:styleId="21">
    <w:name w:val="toc 2"/>
    <w:basedOn w:val="1"/>
    <w:next w:val="1"/>
    <w:qFormat/>
    <w:locked/>
    <w:uiPriority w:val="39"/>
    <w:pPr>
      <w:ind w:left="0" w:leftChars="0"/>
    </w:pPr>
    <w:rPr>
      <w:rFonts w:ascii="Times New Roman" w:hAnsi="Times New Roman" w:cs="Times New Roman"/>
    </w:rPr>
  </w:style>
  <w:style w:type="paragraph" w:styleId="22">
    <w:name w:val="Normal (Web)"/>
    <w:basedOn w:val="1"/>
    <w:link w:val="36"/>
    <w:qFormat/>
    <w:uiPriority w:val="99"/>
    <w:pPr>
      <w:widowControl/>
      <w:spacing w:before="100" w:beforeAutospacing="1" w:after="100" w:afterAutospacing="1"/>
      <w:jc w:val="left"/>
    </w:pPr>
    <w:rPr>
      <w:rFonts w:ascii="宋体" w:hAnsi="宋体"/>
      <w:kern w:val="0"/>
      <w:sz w:val="24"/>
    </w:rPr>
  </w:style>
  <w:style w:type="paragraph" w:styleId="23">
    <w:name w:val="annotation subject"/>
    <w:basedOn w:val="8"/>
    <w:next w:val="8"/>
    <w:link w:val="47"/>
    <w:semiHidden/>
    <w:qFormat/>
    <w:uiPriority w:val="0"/>
    <w:rPr>
      <w:b/>
      <w:bCs/>
    </w:rPr>
  </w:style>
  <w:style w:type="paragraph" w:styleId="24">
    <w:name w:val="Body Text First Indent"/>
    <w:basedOn w:val="9"/>
    <w:unhideWhenUsed/>
    <w:qFormat/>
    <w:uiPriority w:val="99"/>
    <w:pPr>
      <w:widowControl w:val="0"/>
      <w:snapToGrid/>
      <w:spacing w:before="0" w:after="120" w:line="240" w:lineRule="auto"/>
      <w:ind w:right="0" w:firstLine="420" w:firstLineChars="100"/>
    </w:pPr>
    <w:rPr>
      <w:kern w:val="2"/>
      <w:sz w:val="21"/>
      <w:szCs w:val="24"/>
    </w:rPr>
  </w:style>
  <w:style w:type="paragraph" w:styleId="25">
    <w:name w:val="Body Text First Indent 2"/>
    <w:basedOn w:val="10"/>
    <w:next w:val="9"/>
    <w:link w:val="90"/>
    <w:qFormat/>
    <w:uiPriority w:val="0"/>
    <w:pPr>
      <w:ind w:firstLine="420" w:firstLineChars="200"/>
    </w:p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locked/>
    <w:uiPriority w:val="0"/>
    <w:rPr>
      <w:b/>
    </w:rPr>
  </w:style>
  <w:style w:type="character" w:styleId="30">
    <w:name w:val="page number"/>
    <w:basedOn w:val="28"/>
    <w:qFormat/>
    <w:uiPriority w:val="0"/>
  </w:style>
  <w:style w:type="character" w:styleId="31">
    <w:name w:val="Hyperlink"/>
    <w:basedOn w:val="28"/>
    <w:unhideWhenUsed/>
    <w:qFormat/>
    <w:uiPriority w:val="99"/>
    <w:rPr>
      <w:color w:val="0563C1" w:themeColor="hyperlink"/>
      <w:u w:val="single"/>
      <w14:textFill>
        <w14:solidFill>
          <w14:schemeClr w14:val="hlink"/>
        </w14:solidFill>
      </w14:textFill>
    </w:rPr>
  </w:style>
  <w:style w:type="character" w:styleId="32">
    <w:name w:val="annotation reference"/>
    <w:basedOn w:val="28"/>
    <w:qFormat/>
    <w:uiPriority w:val="99"/>
    <w:rPr>
      <w:sz w:val="21"/>
    </w:rPr>
  </w:style>
  <w:style w:type="character" w:customStyle="1" w:styleId="33">
    <w:name w:val="页眉 字符"/>
    <w:basedOn w:val="28"/>
    <w:link w:val="17"/>
    <w:qFormat/>
    <w:locked/>
    <w:uiPriority w:val="0"/>
    <w:rPr>
      <w:rFonts w:cs="Times New Roman"/>
      <w:sz w:val="18"/>
      <w:szCs w:val="18"/>
    </w:rPr>
  </w:style>
  <w:style w:type="character" w:customStyle="1" w:styleId="34">
    <w:name w:val="页脚 字符"/>
    <w:basedOn w:val="28"/>
    <w:link w:val="16"/>
    <w:qFormat/>
    <w:locked/>
    <w:uiPriority w:val="0"/>
    <w:rPr>
      <w:rFonts w:cs="Times New Roman"/>
      <w:sz w:val="18"/>
      <w:szCs w:val="18"/>
    </w:rPr>
  </w:style>
  <w:style w:type="character" w:customStyle="1" w:styleId="35">
    <w:name w:val="正文文本 字符"/>
    <w:link w:val="9"/>
    <w:qFormat/>
    <w:locked/>
    <w:uiPriority w:val="0"/>
    <w:rPr>
      <w:sz w:val="18"/>
    </w:rPr>
  </w:style>
  <w:style w:type="character" w:customStyle="1" w:styleId="36">
    <w:name w:val="普通(网站) 字符"/>
    <w:link w:val="22"/>
    <w:qFormat/>
    <w:locked/>
    <w:uiPriority w:val="99"/>
    <w:rPr>
      <w:rFonts w:ascii="宋体" w:hAnsi="宋体" w:eastAsia="宋体"/>
      <w:sz w:val="24"/>
    </w:rPr>
  </w:style>
  <w:style w:type="character" w:customStyle="1" w:styleId="37">
    <w:name w:val="日期 字符1"/>
    <w:link w:val="14"/>
    <w:qFormat/>
    <w:locked/>
    <w:uiPriority w:val="0"/>
    <w:rPr>
      <w:rFonts w:ascii="Times New Roman" w:hAnsi="Times New Roman" w:eastAsia="宋体"/>
      <w:sz w:val="24"/>
    </w:rPr>
  </w:style>
  <w:style w:type="character" w:customStyle="1" w:styleId="38">
    <w:name w:val="日期 字符"/>
    <w:basedOn w:val="28"/>
    <w:semiHidden/>
    <w:qFormat/>
    <w:uiPriority w:val="0"/>
    <w:rPr>
      <w:rFonts w:ascii="Times New Roman" w:hAnsi="Times New Roman" w:eastAsia="宋体" w:cs="Times New Roman"/>
      <w:sz w:val="24"/>
      <w:szCs w:val="24"/>
    </w:rPr>
  </w:style>
  <w:style w:type="character" w:customStyle="1" w:styleId="39">
    <w:name w:val="正文文本 字符1"/>
    <w:basedOn w:val="28"/>
    <w:semiHidden/>
    <w:qFormat/>
    <w:uiPriority w:val="0"/>
    <w:rPr>
      <w:rFonts w:ascii="Times New Roman" w:hAnsi="Times New Roman" w:eastAsia="宋体" w:cs="Times New Roman"/>
      <w:sz w:val="24"/>
      <w:szCs w:val="24"/>
    </w:rPr>
  </w:style>
  <w:style w:type="paragraph" w:customStyle="1" w:styleId="40">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1">
    <w:name w:val="表格 Char"/>
    <w:link w:val="42"/>
    <w:qFormat/>
    <w:locked/>
    <w:uiPriority w:val="0"/>
    <w:rPr>
      <w:rFonts w:ascii="宋体"/>
      <w:sz w:val="21"/>
    </w:rPr>
  </w:style>
  <w:style w:type="paragraph" w:customStyle="1" w:styleId="42">
    <w:name w:val="表格"/>
    <w:basedOn w:val="1"/>
    <w:next w:val="1"/>
    <w:link w:val="41"/>
    <w:qFormat/>
    <w:uiPriority w:val="0"/>
    <w:pPr>
      <w:adjustRightInd w:val="0"/>
      <w:snapToGrid w:val="0"/>
      <w:spacing w:beforeLines="10" w:afterLines="10" w:line="259" w:lineRule="auto"/>
      <w:jc w:val="center"/>
    </w:pPr>
    <w:rPr>
      <w:rFonts w:ascii="宋体"/>
      <w:kern w:val="0"/>
      <w:sz w:val="20"/>
      <w:szCs w:val="21"/>
    </w:rPr>
  </w:style>
  <w:style w:type="character" w:customStyle="1" w:styleId="43">
    <w:name w:val="批注框文本 字符"/>
    <w:basedOn w:val="28"/>
    <w:link w:val="15"/>
    <w:semiHidden/>
    <w:qFormat/>
    <w:locked/>
    <w:uiPriority w:val="0"/>
    <w:rPr>
      <w:rFonts w:ascii="Times New Roman" w:hAnsi="Times New Roman" w:eastAsia="宋体" w:cs="Times New Roman"/>
      <w:sz w:val="18"/>
      <w:szCs w:val="18"/>
    </w:rPr>
  </w:style>
  <w:style w:type="character" w:customStyle="1" w:styleId="44">
    <w:name w:val="批注文字 字符"/>
    <w:link w:val="8"/>
    <w:qFormat/>
    <w:locked/>
    <w:uiPriority w:val="99"/>
    <w:rPr>
      <w:rFonts w:ascii="Times New Roman" w:hAnsi="Times New Roman" w:eastAsia="宋体"/>
      <w:sz w:val="24"/>
    </w:rPr>
  </w:style>
  <w:style w:type="character" w:customStyle="1" w:styleId="45">
    <w:name w:val="批注文字 字符1"/>
    <w:basedOn w:val="28"/>
    <w:semiHidden/>
    <w:qFormat/>
    <w:uiPriority w:val="0"/>
    <w:rPr>
      <w:rFonts w:ascii="Times New Roman" w:hAnsi="Times New Roman" w:eastAsia="宋体" w:cs="Times New Roman"/>
      <w:sz w:val="24"/>
      <w:szCs w:val="24"/>
    </w:rPr>
  </w:style>
  <w:style w:type="character" w:customStyle="1" w:styleId="46">
    <w:name w:val="正文文本缩进 字符"/>
    <w:basedOn w:val="28"/>
    <w:link w:val="10"/>
    <w:semiHidden/>
    <w:qFormat/>
    <w:locked/>
    <w:uiPriority w:val="0"/>
    <w:rPr>
      <w:rFonts w:ascii="Times New Roman" w:hAnsi="Times New Roman" w:eastAsia="宋体" w:cs="Times New Roman"/>
      <w:sz w:val="24"/>
      <w:szCs w:val="24"/>
    </w:rPr>
  </w:style>
  <w:style w:type="character" w:customStyle="1" w:styleId="47">
    <w:name w:val="批注主题 字符"/>
    <w:basedOn w:val="44"/>
    <w:link w:val="23"/>
    <w:semiHidden/>
    <w:qFormat/>
    <w:locked/>
    <w:uiPriority w:val="0"/>
    <w:rPr>
      <w:rFonts w:ascii="Times New Roman" w:hAnsi="Times New Roman" w:eastAsia="宋体" w:cs="Times New Roman"/>
      <w:b/>
      <w:bCs/>
      <w:kern w:val="2"/>
      <w:sz w:val="24"/>
      <w:szCs w:val="24"/>
    </w:rPr>
  </w:style>
  <w:style w:type="character" w:customStyle="1" w:styleId="48">
    <w:name w:val="普通(网站) Char"/>
    <w:qFormat/>
    <w:locked/>
    <w:uiPriority w:val="0"/>
    <w:rPr>
      <w:rFonts w:ascii="宋体" w:hAnsi="宋体" w:eastAsia="宋体"/>
      <w:sz w:val="24"/>
    </w:rPr>
  </w:style>
  <w:style w:type="paragraph" w:customStyle="1" w:styleId="49">
    <w:name w:val="圈√"/>
    <w:next w:val="1"/>
    <w:link w:val="53"/>
    <w:qFormat/>
    <w:uiPriority w:val="0"/>
    <w:pPr>
      <w:widowControl w:val="0"/>
      <w:jc w:val="both"/>
    </w:pPr>
    <w:rPr>
      <w:rFonts w:ascii="Wingdings 2" w:hAnsi="Wingdings 2" w:eastAsia="Wingdings 2" w:cs="Times New Roman"/>
      <w:kern w:val="2"/>
      <w:sz w:val="21"/>
      <w:szCs w:val="21"/>
      <w:lang w:val="en-US" w:eastAsia="zh-CN" w:bidi="ar-SA"/>
    </w:rPr>
  </w:style>
  <w:style w:type="character" w:customStyle="1" w:styleId="50">
    <w:name w:val="【表中文字】 Char"/>
    <w:link w:val="51"/>
    <w:qFormat/>
    <w:uiPriority w:val="0"/>
    <w:rPr>
      <w:sz w:val="18"/>
    </w:rPr>
  </w:style>
  <w:style w:type="paragraph" w:customStyle="1" w:styleId="51">
    <w:name w:val="【表中文字】"/>
    <w:basedOn w:val="52"/>
    <w:link w:val="50"/>
    <w:qFormat/>
    <w:uiPriority w:val="0"/>
    <w:pPr>
      <w:adjustRightInd w:val="0"/>
      <w:snapToGrid w:val="0"/>
      <w:jc w:val="center"/>
    </w:pPr>
    <w:rPr>
      <w:kern w:val="0"/>
      <w:sz w:val="18"/>
      <w:szCs w:val="20"/>
    </w:rPr>
  </w:style>
  <w:style w:type="paragraph" w:customStyle="1" w:styleId="52">
    <w:name w:val="表格字"/>
    <w:basedOn w:val="20"/>
    <w:autoRedefine/>
    <w:qFormat/>
    <w:uiPriority w:val="0"/>
    <w:pPr>
      <w:ind w:left="0" w:firstLine="0" w:firstLineChars="0"/>
      <w:jc w:val="center"/>
    </w:pPr>
  </w:style>
  <w:style w:type="character" w:customStyle="1" w:styleId="53">
    <w:name w:val="圈√ 字符"/>
    <w:basedOn w:val="28"/>
    <w:link w:val="49"/>
    <w:qFormat/>
    <w:uiPriority w:val="0"/>
    <w:rPr>
      <w:rFonts w:ascii="Wingdings 2" w:hAnsi="Wingdings 2" w:eastAsia="Wingdings 2"/>
      <w:kern w:val="2"/>
      <w:sz w:val="21"/>
      <w:szCs w:val="21"/>
    </w:rPr>
  </w:style>
  <w:style w:type="character" w:customStyle="1" w:styleId="54">
    <w:name w:val="【表头】 Char"/>
    <w:link w:val="55"/>
    <w:qFormat/>
    <w:uiPriority w:val="0"/>
    <w:rPr>
      <w:rFonts w:eastAsia="黑体"/>
      <w:sz w:val="21"/>
    </w:rPr>
  </w:style>
  <w:style w:type="paragraph" w:customStyle="1" w:styleId="55">
    <w:name w:val="【表头】"/>
    <w:basedOn w:val="1"/>
    <w:next w:val="1"/>
    <w:link w:val="54"/>
    <w:qFormat/>
    <w:uiPriority w:val="0"/>
    <w:pPr>
      <w:jc w:val="center"/>
    </w:pPr>
    <w:rPr>
      <w:rFonts w:eastAsia="黑体"/>
      <w:kern w:val="0"/>
      <w:szCs w:val="20"/>
    </w:rPr>
  </w:style>
  <w:style w:type="paragraph" w:customStyle="1" w:styleId="56">
    <w:name w:val="首行缩进正文"/>
    <w:basedOn w:val="1"/>
    <w:link w:val="57"/>
    <w:qFormat/>
    <w:uiPriority w:val="0"/>
    <w:pPr>
      <w:spacing w:line="360" w:lineRule="auto"/>
      <w:ind w:firstLine="200" w:firstLineChars="200"/>
    </w:pPr>
  </w:style>
  <w:style w:type="character" w:customStyle="1" w:styleId="57">
    <w:name w:val="首行缩进正文 字符"/>
    <w:basedOn w:val="28"/>
    <w:link w:val="56"/>
    <w:qFormat/>
    <w:uiPriority w:val="0"/>
    <w:rPr>
      <w:kern w:val="2"/>
      <w:sz w:val="21"/>
      <w:szCs w:val="24"/>
    </w:rPr>
  </w:style>
  <w:style w:type="character" w:customStyle="1" w:styleId="58">
    <w:name w:val="【正文】 Char"/>
    <w:link w:val="59"/>
    <w:qFormat/>
    <w:uiPriority w:val="0"/>
    <w:rPr>
      <w:kern w:val="2"/>
      <w:sz w:val="24"/>
      <w:szCs w:val="24"/>
    </w:rPr>
  </w:style>
  <w:style w:type="paragraph" w:customStyle="1" w:styleId="59">
    <w:name w:val="【正文】"/>
    <w:basedOn w:val="1"/>
    <w:link w:val="58"/>
    <w:qFormat/>
    <w:uiPriority w:val="0"/>
    <w:pPr>
      <w:spacing w:line="360" w:lineRule="auto"/>
      <w:ind w:firstLine="480" w:firstLineChars="200"/>
    </w:pPr>
    <w:rPr>
      <w:sz w:val="24"/>
    </w:rPr>
  </w:style>
  <w:style w:type="paragraph" w:customStyle="1" w:styleId="60">
    <w:name w:val="正文------------------------"/>
    <w:basedOn w:val="1"/>
    <w:qFormat/>
    <w:uiPriority w:val="0"/>
    <w:pPr>
      <w:spacing w:line="440" w:lineRule="atLeast"/>
      <w:ind w:firstLine="570"/>
    </w:pPr>
    <w:rPr>
      <w:rFonts w:hAnsi="宋体" w:cs="宋体"/>
      <w:sz w:val="24"/>
      <w:szCs w:val="20"/>
    </w:rPr>
  </w:style>
  <w:style w:type="character" w:customStyle="1" w:styleId="61">
    <w:name w:val="【表中文字】- 字符"/>
    <w:link w:val="62"/>
    <w:qFormat/>
    <w:uiPriority w:val="0"/>
  </w:style>
  <w:style w:type="paragraph" w:customStyle="1" w:styleId="62">
    <w:name w:val="【表中文字】-"/>
    <w:basedOn w:val="1"/>
    <w:link w:val="61"/>
    <w:qFormat/>
    <w:uiPriority w:val="0"/>
    <w:pPr>
      <w:widowControl/>
      <w:jc w:val="center"/>
    </w:pPr>
    <w:rPr>
      <w:kern w:val="0"/>
      <w:sz w:val="20"/>
      <w:szCs w:val="20"/>
    </w:rPr>
  </w:style>
  <w:style w:type="paragraph" w:customStyle="1" w:styleId="63">
    <w:name w:val="表头"/>
    <w:basedOn w:val="1"/>
    <w:link w:val="64"/>
    <w:qFormat/>
    <w:uiPriority w:val="0"/>
    <w:pPr>
      <w:adjustRightInd w:val="0"/>
      <w:snapToGrid w:val="0"/>
      <w:ind w:firstLine="200" w:firstLineChars="200"/>
      <w:jc w:val="center"/>
    </w:pPr>
    <w:rPr>
      <w:rFonts w:eastAsia="黑体"/>
    </w:rPr>
  </w:style>
  <w:style w:type="character" w:customStyle="1" w:styleId="64">
    <w:name w:val="表头 字符"/>
    <w:link w:val="63"/>
    <w:qFormat/>
    <w:uiPriority w:val="0"/>
    <w:rPr>
      <w:rFonts w:eastAsia="黑体"/>
      <w:kern w:val="2"/>
      <w:sz w:val="21"/>
      <w:szCs w:val="24"/>
    </w:rPr>
  </w:style>
  <w:style w:type="character" w:customStyle="1" w:styleId="65">
    <w:name w:val="副标题 字符"/>
    <w:basedOn w:val="28"/>
    <w:link w:val="19"/>
    <w:qFormat/>
    <w:uiPriority w:val="0"/>
    <w:rPr>
      <w:rFonts w:asciiTheme="minorHAnsi" w:hAnsiTheme="minorHAnsi" w:eastAsiaTheme="minorEastAsia" w:cstheme="minorBidi"/>
      <w:b/>
      <w:bCs/>
      <w:kern w:val="28"/>
      <w:sz w:val="32"/>
      <w:szCs w:val="32"/>
    </w:rPr>
  </w:style>
  <w:style w:type="character" w:customStyle="1" w:styleId="66">
    <w:name w:val="纯文本 字符1"/>
    <w:link w:val="12"/>
    <w:qFormat/>
    <w:uiPriority w:val="0"/>
    <w:rPr>
      <w:rFonts w:ascii="宋体" w:hAnsi="Courier New"/>
      <w:kern w:val="2"/>
      <w:sz w:val="32"/>
    </w:rPr>
  </w:style>
  <w:style w:type="character" w:customStyle="1" w:styleId="67">
    <w:name w:val="纯文本 字符"/>
    <w:basedOn w:val="28"/>
    <w:qFormat/>
    <w:uiPriority w:val="0"/>
    <w:rPr>
      <w:rFonts w:hAnsi="Courier New" w:cs="Courier New" w:asciiTheme="minorEastAsia" w:eastAsiaTheme="minorEastAsia"/>
      <w:kern w:val="2"/>
      <w:sz w:val="21"/>
      <w:szCs w:val="24"/>
    </w:rPr>
  </w:style>
  <w:style w:type="paragraph" w:customStyle="1" w:styleId="68">
    <w:name w:val="TOC Heading"/>
    <w:basedOn w:val="2"/>
    <w:next w:val="1"/>
    <w:unhideWhenUsed/>
    <w:qFormat/>
    <w:uiPriority w:val="39"/>
    <w:pPr>
      <w:keepLines/>
      <w:widowControl/>
      <w:overflowPunct/>
      <w:snapToGrid/>
      <w:spacing w:before="240" w:after="0"/>
      <w:ind w:left="0" w:firstLine="0"/>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69">
    <w:name w:val="C【表头】 字符"/>
    <w:link w:val="70"/>
    <w:qFormat/>
    <w:uiPriority w:val="0"/>
    <w:rPr>
      <w:rFonts w:eastAsia="黑体" w:cs="宋体"/>
      <w:sz w:val="21"/>
    </w:rPr>
  </w:style>
  <w:style w:type="paragraph" w:customStyle="1" w:styleId="70">
    <w:name w:val="C【表头】"/>
    <w:basedOn w:val="1"/>
    <w:link w:val="69"/>
    <w:qFormat/>
    <w:uiPriority w:val="0"/>
    <w:pPr>
      <w:widowControl/>
      <w:adjustRightInd w:val="0"/>
      <w:snapToGrid w:val="0"/>
      <w:jc w:val="center"/>
    </w:pPr>
    <w:rPr>
      <w:rFonts w:eastAsia="黑体" w:cs="宋体"/>
      <w:kern w:val="0"/>
      <w:szCs w:val="20"/>
    </w:rPr>
  </w:style>
  <w:style w:type="character" w:customStyle="1" w:styleId="71">
    <w:name w:val="C【表中文字】- 字符"/>
    <w:link w:val="72"/>
    <w:qFormat/>
    <w:uiPriority w:val="0"/>
    <w:rPr>
      <w:sz w:val="18"/>
    </w:rPr>
  </w:style>
  <w:style w:type="paragraph" w:customStyle="1" w:styleId="72">
    <w:name w:val="C【表中文字】-"/>
    <w:basedOn w:val="1"/>
    <w:link w:val="71"/>
    <w:qFormat/>
    <w:uiPriority w:val="0"/>
    <w:pPr>
      <w:adjustRightInd w:val="0"/>
      <w:snapToGrid w:val="0"/>
      <w:jc w:val="center"/>
    </w:pPr>
    <w:rPr>
      <w:kern w:val="0"/>
      <w:sz w:val="18"/>
      <w:szCs w:val="20"/>
    </w:rPr>
  </w:style>
  <w:style w:type="paragraph" w:customStyle="1" w:styleId="73">
    <w:name w:val="C表两端"/>
    <w:basedOn w:val="1"/>
    <w:link w:val="74"/>
    <w:qFormat/>
    <w:uiPriority w:val="0"/>
    <w:pPr>
      <w:adjustRightInd w:val="0"/>
      <w:snapToGrid w:val="0"/>
    </w:pPr>
    <w:rPr>
      <w:kern w:val="0"/>
      <w:sz w:val="18"/>
      <w:szCs w:val="20"/>
    </w:rPr>
  </w:style>
  <w:style w:type="character" w:customStyle="1" w:styleId="74">
    <w:name w:val="C表两端 字符"/>
    <w:link w:val="73"/>
    <w:qFormat/>
    <w:locked/>
    <w:uiPriority w:val="0"/>
    <w:rPr>
      <w:sz w:val="18"/>
    </w:rPr>
  </w:style>
  <w:style w:type="character" w:customStyle="1" w:styleId="75">
    <w:name w:val="【表中文字】 Char Char"/>
    <w:qFormat/>
    <w:uiPriority w:val="0"/>
    <w:rPr>
      <w:kern w:val="2"/>
      <w:sz w:val="21"/>
    </w:rPr>
  </w:style>
  <w:style w:type="table" w:customStyle="1" w:styleId="76">
    <w:name w:val="[表格样式]1"/>
    <w:basedOn w:val="26"/>
    <w:qFormat/>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77">
    <w:name w:val="【正文】 字符"/>
    <w:qFormat/>
    <w:uiPriority w:val="0"/>
    <w:rPr>
      <w:sz w:val="24"/>
      <w:szCs w:val="24"/>
    </w:rPr>
  </w:style>
  <w:style w:type="character" w:customStyle="1" w:styleId="78">
    <w:name w:val="【正文】 Char1"/>
    <w:qFormat/>
    <w:uiPriority w:val="0"/>
    <w:rPr>
      <w:rFonts w:ascii="Times New Roman" w:hAnsi="Times New Roman" w:eastAsia="宋体"/>
      <w:sz w:val="24"/>
    </w:rPr>
  </w:style>
  <w:style w:type="paragraph" w:customStyle="1" w:styleId="79">
    <w:name w:val="C首行缩进正文"/>
    <w:basedOn w:val="59"/>
    <w:link w:val="80"/>
    <w:qFormat/>
    <w:uiPriority w:val="0"/>
    <w:pPr>
      <w:ind w:firstLine="200"/>
    </w:pPr>
    <w:rPr>
      <w:rFonts w:cs="宋体"/>
      <w:color w:val="000000" w:themeColor="text1"/>
      <w:sz w:val="21"/>
      <w14:textFill>
        <w14:solidFill>
          <w14:schemeClr w14:val="tx1"/>
        </w14:solidFill>
      </w14:textFill>
    </w:rPr>
  </w:style>
  <w:style w:type="character" w:customStyle="1" w:styleId="80">
    <w:name w:val="C首行缩进正文 字符"/>
    <w:basedOn w:val="58"/>
    <w:link w:val="79"/>
    <w:qFormat/>
    <w:uiPriority w:val="0"/>
    <w:rPr>
      <w:rFonts w:cs="宋体"/>
      <w:color w:val="000000" w:themeColor="text1"/>
      <w:kern w:val="2"/>
      <w:sz w:val="21"/>
      <w:szCs w:val="24"/>
      <w14:textFill>
        <w14:solidFill>
          <w14:schemeClr w14:val="tx1"/>
        </w14:solidFill>
      </w14:textFill>
    </w:rPr>
  </w:style>
  <w:style w:type="character" w:customStyle="1" w:styleId="81">
    <w:name w:val="表头 Char"/>
    <w:qFormat/>
    <w:uiPriority w:val="0"/>
    <w:rPr>
      <w:rFonts w:ascii="黑体" w:hAnsi="黑体" w:eastAsia="黑体" w:cs="Times New Roman"/>
      <w:sz w:val="24"/>
    </w:rPr>
  </w:style>
  <w:style w:type="paragraph" w:customStyle="1" w:styleId="82">
    <w:name w:val="样式1"/>
    <w:basedOn w:val="1"/>
    <w:qFormat/>
    <w:uiPriority w:val="0"/>
    <w:pPr>
      <w:snapToGrid w:val="0"/>
      <w:spacing w:before="100" w:beforeAutospacing="1" w:after="100" w:afterAutospacing="1" w:line="360" w:lineRule="auto"/>
    </w:pPr>
    <w:rPr>
      <w:rFonts w:ascii="宋体" w:hAnsi="宋体"/>
      <w:b/>
      <w:sz w:val="24"/>
    </w:rPr>
  </w:style>
  <w:style w:type="paragraph" w:customStyle="1" w:styleId="83">
    <w:name w:val="正文w"/>
    <w:basedOn w:val="1"/>
    <w:link w:val="84"/>
    <w:qFormat/>
    <w:uiPriority w:val="0"/>
    <w:pPr>
      <w:snapToGrid w:val="0"/>
      <w:spacing w:line="360" w:lineRule="auto"/>
      <w:ind w:firstLine="480" w:firstLineChars="200"/>
    </w:pPr>
    <w:rPr>
      <w:rFonts w:ascii="宋体" w:hAnsi="宋体"/>
      <w:sz w:val="24"/>
    </w:rPr>
  </w:style>
  <w:style w:type="character" w:customStyle="1" w:styleId="84">
    <w:name w:val="正文w Char"/>
    <w:link w:val="83"/>
    <w:qFormat/>
    <w:uiPriority w:val="0"/>
    <w:rPr>
      <w:rFonts w:ascii="宋体" w:hAnsi="宋体"/>
      <w:kern w:val="2"/>
      <w:sz w:val="24"/>
      <w:szCs w:val="24"/>
    </w:rPr>
  </w:style>
  <w:style w:type="table" w:customStyle="1" w:styleId="85">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86">
    <w:name w:val="Table Paragraph"/>
    <w:basedOn w:val="1"/>
    <w:qFormat/>
    <w:uiPriority w:val="1"/>
    <w:pPr>
      <w:autoSpaceDE w:val="0"/>
      <w:autoSpaceDN w:val="0"/>
      <w:jc w:val="center"/>
    </w:pPr>
    <w:rPr>
      <w:rFonts w:ascii="宋体" w:hAnsi="宋体" w:cs="宋体"/>
      <w:kern w:val="0"/>
      <w:sz w:val="22"/>
      <w:szCs w:val="22"/>
      <w:lang w:val="zh-CN" w:bidi="zh-CN"/>
    </w:rPr>
  </w:style>
  <w:style w:type="character" w:customStyle="1" w:styleId="87">
    <w:name w:val="标题 2 字符"/>
    <w:basedOn w:val="28"/>
    <w:link w:val="3"/>
    <w:semiHidden/>
    <w:qFormat/>
    <w:uiPriority w:val="0"/>
    <w:rPr>
      <w:rFonts w:asciiTheme="majorHAnsi" w:hAnsiTheme="majorHAnsi" w:eastAsiaTheme="majorEastAsia" w:cstheme="majorBidi"/>
      <w:b/>
      <w:bCs/>
      <w:kern w:val="2"/>
      <w:sz w:val="32"/>
      <w:szCs w:val="32"/>
    </w:rPr>
  </w:style>
  <w:style w:type="paragraph" w:customStyle="1" w:styleId="88">
    <w:name w:val="样式 宋体 首行缩进:  2 字符"/>
    <w:basedOn w:val="1"/>
    <w:qFormat/>
    <w:uiPriority w:val="0"/>
    <w:pPr>
      <w:snapToGrid w:val="0"/>
      <w:spacing w:line="520" w:lineRule="exact"/>
      <w:ind w:firstLine="200" w:firstLineChars="200"/>
    </w:pPr>
    <w:rPr>
      <w:rFonts w:ascii="宋体" w:hAnsi="宋体"/>
      <w:sz w:val="28"/>
      <w:szCs w:val="20"/>
    </w:rPr>
  </w:style>
  <w:style w:type="paragraph" w:customStyle="1" w:styleId="89">
    <w:name w:val="1s普通段落"/>
    <w:basedOn w:val="25"/>
    <w:qFormat/>
    <w:uiPriority w:val="0"/>
    <w:pPr>
      <w:spacing w:after="0" w:line="360" w:lineRule="auto"/>
      <w:ind w:left="0" w:leftChars="0" w:firstLine="200"/>
    </w:pPr>
    <w:rPr>
      <w:sz w:val="24"/>
    </w:rPr>
  </w:style>
  <w:style w:type="character" w:customStyle="1" w:styleId="90">
    <w:name w:val="正文文本首行缩进 2 字符"/>
    <w:basedOn w:val="46"/>
    <w:link w:val="25"/>
    <w:qFormat/>
    <w:uiPriority w:val="0"/>
    <w:rPr>
      <w:rFonts w:ascii="Times New Roman" w:hAnsi="Times New Roman" w:eastAsia="宋体" w:cs="Times New Roman"/>
      <w:kern w:val="2"/>
      <w:sz w:val="21"/>
      <w:szCs w:val="24"/>
    </w:rPr>
  </w:style>
  <w:style w:type="character" w:styleId="91">
    <w:name w:val="Placeholder Text"/>
    <w:basedOn w:val="28"/>
    <w:semiHidden/>
    <w:qFormat/>
    <w:uiPriority w:val="99"/>
    <w:rPr>
      <w:color w:val="666666"/>
    </w:rPr>
  </w:style>
  <w:style w:type="character" w:customStyle="1" w:styleId="92">
    <w:name w:val="text_vgzkf"/>
    <w:basedOn w:val="28"/>
    <w:qFormat/>
    <w:uiPriority w:val="0"/>
  </w:style>
  <w:style w:type="character" w:customStyle="1" w:styleId="93">
    <w:name w:val="supwrap_axlkn"/>
    <w:basedOn w:val="28"/>
    <w:qFormat/>
    <w:uiPriority w:val="0"/>
  </w:style>
  <w:style w:type="paragraph" w:customStyle="1" w:styleId="94">
    <w:name w:val="【表头】0"/>
    <w:basedOn w:val="1"/>
    <w:link w:val="96"/>
    <w:qFormat/>
    <w:uiPriority w:val="0"/>
    <w:pPr>
      <w:adjustRightInd w:val="0"/>
      <w:snapToGrid w:val="0"/>
      <w:spacing w:line="400" w:lineRule="exact"/>
      <w:jc w:val="center"/>
    </w:pPr>
    <w:rPr>
      <w:rFonts w:eastAsia="仿宋"/>
      <w:b/>
      <w:sz w:val="24"/>
    </w:rPr>
  </w:style>
  <w:style w:type="paragraph" w:customStyle="1" w:styleId="95">
    <w:name w:val="【表中表】居中"/>
    <w:basedOn w:val="1"/>
    <w:link w:val="97"/>
    <w:qFormat/>
    <w:uiPriority w:val="0"/>
    <w:pPr>
      <w:autoSpaceDE w:val="0"/>
      <w:autoSpaceDN w:val="0"/>
      <w:adjustRightInd w:val="0"/>
      <w:snapToGrid w:val="0"/>
      <w:jc w:val="center"/>
    </w:pPr>
    <w:rPr>
      <w:rFonts w:eastAsia="仿宋"/>
      <w:color w:val="4472C4" w:themeColor="accent1"/>
      <w14:textFill>
        <w14:solidFill>
          <w14:schemeClr w14:val="accent1"/>
        </w14:solidFill>
      </w14:textFill>
    </w:rPr>
  </w:style>
  <w:style w:type="character" w:customStyle="1" w:styleId="96">
    <w:name w:val="【表头】0 字符"/>
    <w:basedOn w:val="28"/>
    <w:link w:val="94"/>
    <w:qFormat/>
    <w:uiPriority w:val="0"/>
    <w:rPr>
      <w:rFonts w:eastAsia="仿宋"/>
      <w:b/>
      <w:kern w:val="2"/>
      <w:sz w:val="24"/>
      <w:szCs w:val="24"/>
    </w:rPr>
  </w:style>
  <w:style w:type="character" w:customStyle="1" w:styleId="97">
    <w:name w:val="【表中表】居中 字符"/>
    <w:basedOn w:val="28"/>
    <w:link w:val="95"/>
    <w:qFormat/>
    <w:uiPriority w:val="0"/>
    <w:rPr>
      <w:rFonts w:eastAsia="仿宋"/>
      <w:color w:val="4472C4" w:themeColor="accent1"/>
      <w:kern w:val="2"/>
      <w:sz w:val="21"/>
      <w:szCs w:val="24"/>
      <w14:textFill>
        <w14:solidFill>
          <w14:schemeClr w14:val="accent1"/>
        </w14:solidFill>
      </w14:textFill>
    </w:rPr>
  </w:style>
  <w:style w:type="paragraph" w:styleId="98">
    <w:name w:val="No Spacing"/>
    <w:autoRedefine/>
    <w:qFormat/>
    <w:uiPriority w:val="0"/>
    <w:pPr>
      <w:widowControl w:val="0"/>
      <w:jc w:val="center"/>
    </w:pPr>
    <w:rPr>
      <w:rFonts w:ascii="Times New Roman" w:hAnsi="Times New Roman" w:eastAsia="宋体" w:cstheme="minorBidi"/>
      <w:kern w:val="2"/>
      <w:sz w:val="21"/>
      <w:szCs w:val="21"/>
      <w:lang w:val="en-US" w:eastAsia="zh-CN" w:bidi="ar-SA"/>
    </w:rPr>
  </w:style>
  <w:style w:type="paragraph" w:customStyle="1" w:styleId="99">
    <w:name w:val="正文1"/>
    <w:basedOn w:val="24"/>
    <w:qFormat/>
    <w:uiPriority w:val="0"/>
    <w:pPr>
      <w:spacing w:after="0" w:line="240" w:lineRule="atLeast"/>
      <w:ind w:firstLine="567" w:firstLineChars="0"/>
    </w:pPr>
    <w:rPr>
      <w:rFonts w:eastAsia="仿宋_GB2312"/>
      <w:sz w:val="32"/>
      <w:szCs w:val="20"/>
    </w:rPr>
  </w:style>
  <w:style w:type="paragraph" w:customStyle="1" w:styleId="100">
    <w:name w:val="样式"/>
    <w:basedOn w:val="1"/>
    <w:next w:val="1"/>
    <w:autoRedefine/>
    <w:qFormat/>
    <w:uiPriority w:val="0"/>
    <w:pPr>
      <w:spacing w:line="360" w:lineRule="auto"/>
      <w:ind w:firstLine="200" w:firstLineChars="200"/>
    </w:pPr>
    <w:rPr>
      <w:rFonts w:ascii="宋体" w:hAnsi="宋体" w:cs="宋体"/>
      <w:kern w:val="10"/>
      <w:sz w:val="28"/>
      <w:szCs w:val="20"/>
    </w:rPr>
  </w:style>
  <w:style w:type="paragraph" w:customStyle="1" w:styleId="101">
    <w:name w:val="图表"/>
    <w:basedOn w:val="1"/>
    <w:next w:val="1"/>
    <w:qFormat/>
    <w:uiPriority w:val="0"/>
    <w:pPr>
      <w:ind w:firstLine="0" w:firstLineChars="0"/>
      <w:jc w:val="center"/>
    </w:pPr>
    <w:rPr>
      <w:rFonts w:eastAsia="黑体"/>
      <w:kern w:val="0"/>
      <w:sz w:val="24"/>
      <w:szCs w:val="20"/>
    </w:rPr>
  </w:style>
  <w:style w:type="character" w:customStyle="1" w:styleId="102">
    <w:name w:val="sc正文"/>
    <w:autoRedefine/>
    <w:qFormat/>
    <w:uiPriority w:val="0"/>
    <w:rPr>
      <w:rFonts w:hint="default" w:ascii="Times New Roman" w:hAnsi="Times New Roman" w:eastAsia="宋体"/>
      <w:color w:val="333333"/>
      <w:sz w:val="24"/>
      <w:szCs w:val="18"/>
      <w:u w:val="none"/>
    </w:rPr>
  </w:style>
  <w:style w:type="paragraph" w:customStyle="1" w:styleId="103">
    <w:name w:val="图注"/>
    <w:basedOn w:val="1"/>
    <w:qFormat/>
    <w:uiPriority w:val="0"/>
    <w:pPr>
      <w:spacing w:line="360" w:lineRule="auto"/>
      <w:jc w:val="center"/>
    </w:pPr>
    <w:rPr>
      <w:rFonts w:eastAsia="黑体"/>
      <w:sz w:val="24"/>
      <w:szCs w:val="22"/>
    </w:rPr>
  </w:style>
  <w:style w:type="paragraph" w:customStyle="1" w:styleId="104">
    <w:name w:val="帆表头"/>
    <w:basedOn w:val="1"/>
    <w:qFormat/>
    <w:uiPriority w:val="0"/>
    <w:pPr>
      <w:widowControl/>
      <w:spacing w:line="360" w:lineRule="auto"/>
      <w:jc w:val="center"/>
    </w:pPr>
    <w:rPr>
      <w:rFonts w:ascii="黑体" w:hAnsi="黑体" w:eastAsia="黑体"/>
      <w:bCs/>
      <w:kern w:val="0"/>
      <w:sz w:val="24"/>
      <w:szCs w:val="21"/>
    </w:rPr>
  </w:style>
  <w:style w:type="paragraph" w:styleId="105">
    <w:name w:val="List Paragraph"/>
    <w:basedOn w:val="1"/>
    <w:qFormat/>
    <w:uiPriority w:val="0"/>
    <w:pPr>
      <w:spacing w:line="240" w:lineRule="auto"/>
      <w:ind w:firstLine="420" w:firstLineChars="0"/>
    </w:pPr>
    <w:rPr>
      <w:rFonts w:ascii="Calibri" w:hAnsi="Calibri"/>
      <w:sz w:val="21"/>
      <w:szCs w:val="22"/>
    </w:rPr>
  </w:style>
  <w:style w:type="paragraph" w:customStyle="1" w:styleId="106">
    <w:name w:val="【表格】"/>
    <w:basedOn w:val="1"/>
    <w:qFormat/>
    <w:uiPriority w:val="0"/>
    <w:pPr>
      <w:adjustRightInd w:val="0"/>
      <w:snapToGrid w:val="0"/>
      <w:spacing w:line="400" w:lineRule="exact"/>
    </w:pPr>
    <w:rPr>
      <w:spacing w:val="-4"/>
    </w:rPr>
  </w:style>
  <w:style w:type="paragraph" w:customStyle="1" w:styleId="107">
    <w:name w:val="正文（群胜）"/>
    <w:basedOn w:val="1"/>
    <w:qFormat/>
    <w:uiPriority w:val="0"/>
    <w:pPr>
      <w:adjustRightInd w:val="0"/>
      <w:snapToGrid w:val="0"/>
      <w:spacing w:line="500" w:lineRule="exact"/>
      <w:ind w:firstLine="200" w:firstLineChars="200"/>
    </w:pPr>
    <w:rPr>
      <w:sz w:val="24"/>
    </w:rPr>
  </w:style>
  <w:style w:type="paragraph" w:customStyle="1" w:styleId="108">
    <w:name w:val="[正文】"/>
    <w:basedOn w:val="1"/>
    <w:qFormat/>
    <w:uiPriority w:val="0"/>
    <w:pPr>
      <w:spacing w:line="500" w:lineRule="exact"/>
      <w:ind w:firstLine="480"/>
    </w:pPr>
    <w:rPr>
      <w:sz w:val="24"/>
    </w:rPr>
  </w:style>
  <w:style w:type="paragraph" w:customStyle="1" w:styleId="109">
    <w:name w:val="Char Char Char Char"/>
    <w:basedOn w:val="1"/>
    <w:qFormat/>
    <w:uiPriority w:val="0"/>
    <w:pPr>
      <w:tabs>
        <w:tab w:val="left" w:pos="1080"/>
      </w:tabs>
      <w:jc w:val="left"/>
    </w:pPr>
    <w:rPr>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5" Type="http://schemas.openxmlformats.org/officeDocument/2006/relationships/fontTable" Target="fontTable.xml"/><Relationship Id="rId64" Type="http://schemas.openxmlformats.org/officeDocument/2006/relationships/customXml" Target="../customXml/item2.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theme" Target="theme/theme1.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wmf"/><Relationship Id="rId13" Type="http://schemas.openxmlformats.org/officeDocument/2006/relationships/oleObject" Target="embeddings/oleObject1.bin"/><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D24438-8EAF-466A-B906-61C7429537DE}">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102</Pages>
  <Words>18864</Words>
  <Characters>19504</Characters>
  <Lines>326</Lines>
  <Paragraphs>91</Paragraphs>
  <TotalTime>0</TotalTime>
  <ScaleCrop>false</ScaleCrop>
  <LinksUpToDate>false</LinksUpToDate>
  <CharactersWithSpaces>19683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2024-01-09T02:24:00Z</dcterms:created>
  <dc:creator>Administrator</dc:creator>
  <cp:lastModifiedBy>Sheena Zhao^</cp:lastModifiedBy>
  <cp:lastPrinted>2024-12-27T00:51:00Z</cp:lastPrinted>
  <dcterms:modified xsi:type="dcterms:W3CDTF">2025-06-10T07:03:28Z</dcterms:modified>
  <cp:revision>368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C0E9F96554BC4D63872742E2DD082207_13</vt:lpwstr>
  </property>
  <property fmtid="{D5CDD505-2E9C-101B-9397-08002B2CF9AE}" pid="4" name="KSOTemplateDocerSaveRecord">
    <vt:lpwstr>eyJoZGlkIjoiOWNjYTIxYmFhNTQwN2JjZTk2MDg2MzFlYTQ1MThlZjIiLCJ1c2VySWQiOiI0MTAzNzI5ODkifQ==</vt:lpwstr>
  </property>
</Properties>
</file>