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75E92">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附件1</w:t>
      </w:r>
    </w:p>
    <w:p w14:paraId="187E18F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val="0"/>
          <w:bCs w:val="0"/>
          <w:color w:val="auto"/>
          <w:sz w:val="32"/>
          <w:szCs w:val="32"/>
          <w:lang w:val="en-US" w:eastAsia="zh-CN"/>
        </w:rPr>
      </w:pPr>
    </w:p>
    <w:p w14:paraId="404F267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auto"/>
          <w:sz w:val="36"/>
          <w:szCs w:val="36"/>
          <w:lang w:val="en-US" w:eastAsia="zh-CN"/>
        </w:rPr>
      </w:pPr>
      <w:r>
        <w:rPr>
          <w:rFonts w:hint="eastAsia" w:ascii="Times New Roman" w:hAnsi="Times New Roman" w:eastAsia="方正小标宋简体" w:cs="Times New Roman"/>
          <w:b w:val="0"/>
          <w:bCs w:val="0"/>
          <w:color w:val="auto"/>
          <w:sz w:val="36"/>
          <w:szCs w:val="36"/>
          <w:lang w:val="en-US" w:eastAsia="zh-CN"/>
        </w:rPr>
        <w:t>饶河县</w:t>
      </w:r>
      <w:r>
        <w:rPr>
          <w:rFonts w:hint="default" w:ascii="Times New Roman" w:hAnsi="Times New Roman" w:eastAsia="方正小标宋简体" w:cs="Times New Roman"/>
          <w:b w:val="0"/>
          <w:bCs w:val="0"/>
          <w:color w:val="auto"/>
          <w:sz w:val="36"/>
          <w:szCs w:val="36"/>
          <w:lang w:val="en-US" w:eastAsia="zh-CN"/>
        </w:rPr>
        <w:t>人民政府关于调整征地区片综合地价标准的</w:t>
      </w:r>
    </w:p>
    <w:p w14:paraId="7B6E05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val="0"/>
          <w:bCs w:val="0"/>
          <w:color w:val="auto"/>
          <w:sz w:val="36"/>
          <w:szCs w:val="36"/>
          <w:lang w:val="en-US" w:eastAsia="zh-CN"/>
        </w:rPr>
      </w:pPr>
      <w:r>
        <w:rPr>
          <w:rFonts w:hint="default" w:ascii="Times New Roman" w:hAnsi="Times New Roman" w:eastAsia="方正小标宋简体" w:cs="Times New Roman"/>
          <w:b w:val="0"/>
          <w:bCs w:val="0"/>
          <w:color w:val="auto"/>
          <w:sz w:val="36"/>
          <w:szCs w:val="36"/>
          <w:lang w:val="en-US" w:eastAsia="zh-CN"/>
        </w:rPr>
        <w:t>通知（征求意见稿）</w:t>
      </w:r>
    </w:p>
    <w:p w14:paraId="2C6D4C38">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各乡镇（街道），各有关部门和单位：</w:t>
      </w:r>
    </w:p>
    <w:p w14:paraId="7F4CFC0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根据《中华人民共和国土地管理法》《黑龙江省人民政府关于印发黑龙江省征地区片综合地价实施办法的通知》（黑政发〔2014〕34号）《黑龙江省重大行政决策程序暂行规定》（黑龙江省人民政府令 第4号）和《关于印发＜2026年黑龙江省征收土地区片综合地价调整或重新公布工作方案＞的通知》（黑自然资发〔2026〕2号）要求，结合我</w:t>
      </w:r>
      <w:r>
        <w:rPr>
          <w:rFonts w:hint="eastAsia" w:ascii="Times New Roman" w:hAnsi="Times New Roman" w:eastAsia="仿宋_GB2312" w:cs="Times New Roman"/>
          <w:b w:val="0"/>
          <w:bCs w:val="0"/>
          <w:color w:val="auto"/>
          <w:sz w:val="32"/>
          <w:szCs w:val="32"/>
          <w:lang w:val="en-US" w:eastAsia="zh-CN"/>
        </w:rPr>
        <w:t>县</w:t>
      </w:r>
      <w:r>
        <w:rPr>
          <w:rFonts w:hint="default" w:ascii="Times New Roman" w:hAnsi="Times New Roman" w:eastAsia="仿宋_GB2312" w:cs="Times New Roman"/>
          <w:b w:val="0"/>
          <w:bCs w:val="0"/>
          <w:color w:val="auto"/>
          <w:sz w:val="32"/>
          <w:szCs w:val="32"/>
          <w:lang w:val="en-US" w:eastAsia="zh-CN"/>
        </w:rPr>
        <w:t>经济社会发展实际情况，现决定调整我</w:t>
      </w:r>
      <w:r>
        <w:rPr>
          <w:rFonts w:hint="eastAsia" w:ascii="Times New Roman" w:hAnsi="Times New Roman" w:eastAsia="仿宋_GB2312" w:cs="Times New Roman"/>
          <w:b w:val="0"/>
          <w:bCs w:val="0"/>
          <w:color w:val="auto"/>
          <w:sz w:val="32"/>
          <w:szCs w:val="32"/>
          <w:lang w:val="en-US" w:eastAsia="zh-CN"/>
        </w:rPr>
        <w:t>县</w:t>
      </w:r>
      <w:r>
        <w:rPr>
          <w:rFonts w:hint="default" w:ascii="Times New Roman" w:hAnsi="Times New Roman" w:eastAsia="仿宋_GB2312" w:cs="Times New Roman"/>
          <w:b w:val="0"/>
          <w:bCs w:val="0"/>
          <w:color w:val="auto"/>
          <w:sz w:val="32"/>
          <w:szCs w:val="32"/>
          <w:lang w:val="en-US" w:eastAsia="zh-CN"/>
        </w:rPr>
        <w:t>征地区片综合地价标准，并将有关事项通知如下：</w:t>
      </w:r>
    </w:p>
    <w:p w14:paraId="3557095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一、自2026年10月1日起，我</w:t>
      </w:r>
      <w:r>
        <w:rPr>
          <w:rFonts w:hint="eastAsia" w:ascii="Times New Roman" w:hAnsi="Times New Roman" w:eastAsia="仿宋_GB2312" w:cs="Times New Roman"/>
          <w:b w:val="0"/>
          <w:bCs w:val="0"/>
          <w:color w:val="auto"/>
          <w:sz w:val="32"/>
          <w:szCs w:val="32"/>
          <w:lang w:val="en-US" w:eastAsia="zh-CN"/>
        </w:rPr>
        <w:t>县</w:t>
      </w:r>
      <w:r>
        <w:rPr>
          <w:rFonts w:hint="default" w:ascii="Times New Roman" w:hAnsi="Times New Roman" w:eastAsia="仿宋_GB2312" w:cs="Times New Roman"/>
          <w:b w:val="0"/>
          <w:bCs w:val="0"/>
          <w:color w:val="auto"/>
          <w:sz w:val="32"/>
          <w:szCs w:val="32"/>
          <w:lang w:val="en-US" w:eastAsia="zh-CN"/>
        </w:rPr>
        <w:t>征收土地补偿标准按照调整的征地区片综合地价标准执行，具体标准见附表。</w:t>
      </w:r>
    </w:p>
    <w:p w14:paraId="146CF2B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二、2026年9月30日以前（含2026年9月30日），已经国务院和省政府批准征收土地的，征收土地补偿按批准的征收土地方案组织落实。</w:t>
      </w:r>
    </w:p>
    <w:p w14:paraId="285489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征地区片综合地价是征收农民集体农用地的土地补偿费和安置补助费标准，不包括法律规定用于社会保险缴费补贴的被征地农民社会保障费用，征收农用地涉及的地上附着物和青苗的补偿费用。按征地区片综合地价确定的补偿，涉及土地承包经营权的耕地的，70%用于安置拥有承包经营权的被征地农民，30%用于持有集体土地所有权的集体经济组织安排基础和公益设施建设、兴办村办企业和被征地农民的生活补助等。征收集体建设用地及未利用地，按照征地区片综合地价予以补偿，征地区片综合地价支付给集体经济组织。</w:t>
      </w:r>
    </w:p>
    <w:p w14:paraId="13E91CF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四、土地征收涉及的地上附着物和青苗等补偿标准，依</w:t>
      </w:r>
    </w:p>
    <w:p w14:paraId="7656AC90">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照公平合理的原则，委托具备资质的资产评估机构评估，按其评估结果予以补偿。</w:t>
      </w:r>
    </w:p>
    <w:p w14:paraId="190BF6F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FF0000"/>
          <w:sz w:val="32"/>
          <w:szCs w:val="32"/>
          <w:lang w:val="en-US" w:eastAsia="zh-CN"/>
        </w:rPr>
      </w:pPr>
      <w:r>
        <w:rPr>
          <w:rFonts w:hint="default" w:ascii="Times New Roman" w:hAnsi="Times New Roman" w:eastAsia="仿宋_GB2312" w:cs="Times New Roman"/>
          <w:b w:val="0"/>
          <w:bCs w:val="0"/>
          <w:color w:val="auto"/>
          <w:sz w:val="32"/>
          <w:szCs w:val="32"/>
          <w:lang w:val="en-US" w:eastAsia="zh-CN"/>
        </w:rPr>
        <w:t>五、过渡期间，要切实做好调整完善前后征地区片综合地价标准的衔接工作，确保平稳有序过渡。</w:t>
      </w:r>
    </w:p>
    <w:p w14:paraId="5913509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六、本通知自2026年10月1日起实施，有效期至2029年9月30日。</w:t>
      </w:r>
    </w:p>
    <w:p w14:paraId="11EFD66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附表：</w:t>
      </w:r>
      <w:r>
        <w:rPr>
          <w:rFonts w:hint="eastAsia" w:ascii="Times New Roman" w:hAnsi="Times New Roman" w:eastAsia="仿宋_GB2312" w:cs="Times New Roman"/>
          <w:b w:val="0"/>
          <w:bCs w:val="0"/>
          <w:color w:val="auto"/>
          <w:sz w:val="32"/>
          <w:szCs w:val="32"/>
          <w:lang w:val="en-US" w:eastAsia="zh-CN"/>
        </w:rPr>
        <w:t>饶河县</w:t>
      </w:r>
      <w:r>
        <w:rPr>
          <w:rFonts w:hint="default" w:ascii="Times New Roman" w:hAnsi="Times New Roman" w:eastAsia="仿宋_GB2312" w:cs="Times New Roman"/>
          <w:b w:val="0"/>
          <w:bCs w:val="0"/>
          <w:color w:val="auto"/>
          <w:sz w:val="32"/>
          <w:szCs w:val="32"/>
          <w:lang w:val="en-US" w:eastAsia="zh-CN"/>
        </w:rPr>
        <w:t>区片综合地价成果表</w:t>
      </w:r>
    </w:p>
    <w:p w14:paraId="496F752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14:paraId="5D8EB9F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饶河县</w:t>
      </w:r>
      <w:r>
        <w:rPr>
          <w:rFonts w:hint="default" w:ascii="Times New Roman" w:hAnsi="Times New Roman" w:eastAsia="仿宋_GB2312" w:cs="Times New Roman"/>
          <w:b w:val="0"/>
          <w:bCs w:val="0"/>
          <w:color w:val="auto"/>
          <w:sz w:val="32"/>
          <w:szCs w:val="32"/>
          <w:lang w:val="en-US" w:eastAsia="zh-CN"/>
        </w:rPr>
        <w:t>人民政府</w:t>
      </w:r>
    </w:p>
    <w:p w14:paraId="112FB5D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2026年</w:t>
      </w: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eastAsia="仿宋_GB2312" w:cs="Times New Roman"/>
          <w:b w:val="0"/>
          <w:bCs w:val="0"/>
          <w:color w:val="auto"/>
          <w:sz w:val="32"/>
          <w:szCs w:val="32"/>
          <w:lang w:val="en-US" w:eastAsia="zh-CN"/>
        </w:rPr>
        <w:t>30</w:t>
      </w:r>
      <w:r>
        <w:rPr>
          <w:rFonts w:hint="default" w:ascii="Times New Roman" w:hAnsi="Times New Roman" w:eastAsia="仿宋_GB2312" w:cs="Times New Roman"/>
          <w:b w:val="0"/>
          <w:bCs w:val="0"/>
          <w:color w:val="auto"/>
          <w:sz w:val="32"/>
          <w:szCs w:val="32"/>
          <w:lang w:val="en-US" w:eastAsia="zh-CN"/>
        </w:rPr>
        <w:t>日</w:t>
      </w:r>
    </w:p>
    <w:p w14:paraId="4DDE9358">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4565B4D0">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0B208B21">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0017421B">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7E9A3D71">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64919CD3">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2C92EFE5">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5CD1FDBB">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sectPr>
          <w:pgSz w:w="11906" w:h="16838"/>
          <w:pgMar w:top="2098" w:right="1474" w:bottom="1984" w:left="1587" w:header="851" w:footer="992" w:gutter="0"/>
          <w:pgNumType w:fmt="decimal"/>
          <w:cols w:space="425" w:num="1"/>
          <w:docGrid w:type="lines" w:linePitch="312" w:charSpace="0"/>
        </w:sectPr>
      </w:pPr>
    </w:p>
    <w:p w14:paraId="70D9DA79">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b w:val="0"/>
          <w:bCs/>
          <w:sz w:val="28"/>
          <w:szCs w:val="28"/>
          <w:highlight w:val="none"/>
          <w:lang w:val="en-US" w:eastAsia="zh-CN"/>
        </w:rPr>
      </w:pPr>
      <w:r>
        <w:rPr>
          <w:rFonts w:hint="default" w:ascii="Times New Roman" w:hAnsi="Times New Roman" w:eastAsia="宋体" w:cs="Times New Roman"/>
          <w:b/>
          <w:bCs/>
          <w:color w:val="auto"/>
          <w:sz w:val="32"/>
          <w:szCs w:val="32"/>
          <w:lang w:val="en-US" w:eastAsia="zh-CN"/>
        </w:rPr>
        <w:t>附表</w:t>
      </w:r>
      <w:r>
        <w:rPr>
          <w:rFonts w:hint="eastAsia" w:ascii="Times New Roman" w:hAnsi="Times New Roman" w:eastAsia="宋体" w:cs="Times New Roman"/>
          <w:b/>
          <w:bCs/>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饶河县</w:t>
      </w:r>
      <w:r>
        <w:rPr>
          <w:rFonts w:hint="default" w:ascii="Times New Roman" w:hAnsi="Times New Roman" w:eastAsia="仿宋_GB2312" w:cs="Times New Roman"/>
          <w:b w:val="0"/>
          <w:bCs w:val="0"/>
          <w:color w:val="auto"/>
          <w:sz w:val="32"/>
          <w:szCs w:val="32"/>
          <w:lang w:val="en-US" w:eastAsia="zh-CN"/>
        </w:rPr>
        <w:t>区片综合地价成果表</w:t>
      </w:r>
    </w:p>
    <w:tbl>
      <w:tblPr>
        <w:tblStyle w:val="3"/>
        <w:tblW w:w="14625"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1879"/>
        <w:gridCol w:w="7911"/>
        <w:gridCol w:w="1200"/>
        <w:gridCol w:w="1335"/>
        <w:gridCol w:w="1500"/>
      </w:tblGrid>
      <w:tr w14:paraId="7ADF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00" w:type="dxa"/>
            <w:vMerge w:val="restart"/>
            <w:tcBorders>
              <w:top w:val="single" w:color="000000" w:sz="4" w:space="0"/>
              <w:left w:val="single" w:color="000000" w:sz="4" w:space="0"/>
              <w:right w:val="single" w:color="000000" w:sz="4" w:space="0"/>
            </w:tcBorders>
            <w:noWrap/>
            <w:vAlign w:val="center"/>
          </w:tcPr>
          <w:p w14:paraId="542ED5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序号</w:t>
            </w:r>
          </w:p>
        </w:tc>
        <w:tc>
          <w:tcPr>
            <w:tcW w:w="1879" w:type="dxa"/>
            <w:vMerge w:val="restart"/>
            <w:tcBorders>
              <w:top w:val="single" w:color="000000" w:sz="4" w:space="0"/>
              <w:left w:val="single" w:color="000000" w:sz="4" w:space="0"/>
              <w:right w:val="single" w:color="000000" w:sz="4" w:space="0"/>
            </w:tcBorders>
            <w:noWrap/>
            <w:vAlign w:val="center"/>
          </w:tcPr>
          <w:p w14:paraId="5F2C96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区片编号</w:t>
            </w:r>
          </w:p>
        </w:tc>
        <w:tc>
          <w:tcPr>
            <w:tcW w:w="7911" w:type="dxa"/>
            <w:vMerge w:val="restart"/>
            <w:tcBorders>
              <w:top w:val="single" w:color="000000" w:sz="4" w:space="0"/>
              <w:left w:val="single" w:color="000000" w:sz="4" w:space="0"/>
              <w:right w:val="single" w:color="000000" w:sz="4" w:space="0"/>
            </w:tcBorders>
            <w:noWrap/>
            <w:vAlign w:val="center"/>
          </w:tcPr>
          <w:p w14:paraId="33A41B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区片范围描述</w:t>
            </w:r>
          </w:p>
        </w:tc>
        <w:tc>
          <w:tcPr>
            <w:tcW w:w="1200" w:type="dxa"/>
            <w:vMerge w:val="restart"/>
            <w:tcBorders>
              <w:top w:val="single" w:color="000000" w:sz="4" w:space="0"/>
              <w:left w:val="single" w:color="000000" w:sz="4" w:space="0"/>
              <w:right w:val="single" w:color="000000" w:sz="4" w:space="0"/>
            </w:tcBorders>
            <w:noWrap/>
            <w:vAlign w:val="center"/>
          </w:tcPr>
          <w:p w14:paraId="4B140D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区片价档次</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2E9604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5"/>
                <w:rFonts w:hint="default" w:ascii="Times New Roman" w:hAnsi="Times New Roman" w:eastAsia="仿宋_GB2312" w:cs="Times New Roman"/>
                <w:sz w:val="21"/>
                <w:szCs w:val="21"/>
                <w:lang w:val="en-US" w:eastAsia="zh-CN" w:bidi="ar"/>
              </w:rPr>
              <w:t>区片</w:t>
            </w:r>
            <w:r>
              <w:rPr>
                <w:rStyle w:val="5"/>
                <w:rFonts w:hint="eastAsia" w:ascii="Times New Roman" w:hAnsi="Times New Roman" w:eastAsia="仿宋_GB2312" w:cs="Times New Roman"/>
                <w:sz w:val="21"/>
                <w:szCs w:val="21"/>
                <w:lang w:val="en-US" w:eastAsia="zh-CN" w:bidi="ar"/>
              </w:rPr>
              <w:t>综合</w:t>
            </w:r>
            <w:r>
              <w:rPr>
                <w:rStyle w:val="5"/>
                <w:rFonts w:hint="default" w:ascii="Times New Roman" w:hAnsi="Times New Roman" w:eastAsia="仿宋_GB2312" w:cs="Times New Roman"/>
                <w:sz w:val="21"/>
                <w:szCs w:val="21"/>
                <w:lang w:val="en-US" w:eastAsia="zh-CN" w:bidi="ar"/>
              </w:rPr>
              <w:t>价</w:t>
            </w:r>
          </w:p>
        </w:tc>
      </w:tr>
      <w:tr w14:paraId="78E3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00" w:type="dxa"/>
            <w:vMerge w:val="continue"/>
            <w:tcBorders>
              <w:left w:val="single" w:color="000000" w:sz="4" w:space="0"/>
              <w:bottom w:val="single" w:color="000000" w:sz="4" w:space="0"/>
              <w:right w:val="single" w:color="000000" w:sz="4" w:space="0"/>
            </w:tcBorders>
            <w:noWrap/>
            <w:vAlign w:val="center"/>
          </w:tcPr>
          <w:p w14:paraId="60A49C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1879" w:type="dxa"/>
            <w:vMerge w:val="continue"/>
            <w:tcBorders>
              <w:left w:val="single" w:color="000000" w:sz="4" w:space="0"/>
              <w:bottom w:val="single" w:color="000000" w:sz="4" w:space="0"/>
              <w:right w:val="single" w:color="000000" w:sz="4" w:space="0"/>
            </w:tcBorders>
            <w:noWrap/>
            <w:vAlign w:val="center"/>
          </w:tcPr>
          <w:p w14:paraId="4C6A18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7911" w:type="dxa"/>
            <w:vMerge w:val="continue"/>
            <w:tcBorders>
              <w:left w:val="single" w:color="000000" w:sz="4" w:space="0"/>
              <w:bottom w:val="single" w:color="000000" w:sz="4" w:space="0"/>
              <w:right w:val="single" w:color="000000" w:sz="4" w:space="0"/>
            </w:tcBorders>
            <w:noWrap/>
            <w:vAlign w:val="center"/>
          </w:tcPr>
          <w:p w14:paraId="6A1924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1200" w:type="dxa"/>
            <w:vMerge w:val="continue"/>
            <w:tcBorders>
              <w:left w:val="single" w:color="000000" w:sz="4" w:space="0"/>
              <w:bottom w:val="single" w:color="000000" w:sz="4" w:space="0"/>
              <w:right w:val="single" w:color="000000" w:sz="4" w:space="0"/>
            </w:tcBorders>
            <w:noWrap/>
            <w:vAlign w:val="center"/>
          </w:tcPr>
          <w:p w14:paraId="5BE7F9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0DA742A">
            <w:pPr>
              <w:keepNext w:val="0"/>
              <w:keepLines w:val="0"/>
              <w:widowControl/>
              <w:suppressLineNumbers w:val="0"/>
              <w:jc w:val="center"/>
              <w:textAlignment w:val="center"/>
              <w:rPr>
                <w:rStyle w:val="5"/>
                <w:rFonts w:hint="default" w:ascii="Times New Roman" w:hAnsi="Times New Roman" w:eastAsia="仿宋_GB2312" w:cs="Times New Roman"/>
                <w:sz w:val="21"/>
                <w:szCs w:val="21"/>
                <w:lang w:val="en-US" w:eastAsia="zh-CN" w:bidi="ar"/>
              </w:rPr>
            </w:pPr>
            <w:r>
              <w:rPr>
                <w:rStyle w:val="6"/>
                <w:rFonts w:hint="default" w:ascii="Times New Roman" w:hAnsi="Times New Roman" w:eastAsia="仿宋_GB2312" w:cs="Times New Roman"/>
                <w:sz w:val="21"/>
                <w:szCs w:val="21"/>
                <w:lang w:val="en-US" w:eastAsia="zh-CN" w:bidi="ar"/>
              </w:rPr>
              <w:t>元/亩</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8ADEF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元/平方米</w:t>
            </w:r>
          </w:p>
        </w:tc>
      </w:tr>
      <w:tr w14:paraId="0D5A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3BD6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6C73C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23052420250001</w:t>
            </w:r>
          </w:p>
        </w:tc>
        <w:tc>
          <w:tcPr>
            <w:tcW w:w="7911" w:type="dxa"/>
            <w:tcBorders>
              <w:top w:val="single" w:color="000000" w:sz="4" w:space="0"/>
              <w:left w:val="single" w:color="000000" w:sz="4" w:space="0"/>
              <w:bottom w:val="single" w:color="000000" w:sz="4" w:space="0"/>
              <w:right w:val="single" w:color="000000" w:sz="4" w:space="0"/>
            </w:tcBorders>
            <w:noWrap w:val="0"/>
            <w:vAlign w:val="center"/>
          </w:tcPr>
          <w:p w14:paraId="48C686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饶河农场、红旗岭农场</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05136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Ⅰ</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EF603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81F6E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w:t>
            </w:r>
          </w:p>
        </w:tc>
      </w:tr>
      <w:tr w14:paraId="16CF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3EEC4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22A9C9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i w:val="0"/>
                <w:iCs w:val="0"/>
                <w:color w:val="000000"/>
                <w:kern w:val="0"/>
                <w:sz w:val="21"/>
                <w:szCs w:val="21"/>
                <w:u w:val="none"/>
                <w:lang w:val="en-US" w:eastAsia="zh-CN" w:bidi="ar"/>
              </w:rPr>
              <w:t>23052420250002</w:t>
            </w:r>
          </w:p>
        </w:tc>
        <w:tc>
          <w:tcPr>
            <w:tcW w:w="7911" w:type="dxa"/>
            <w:tcBorders>
              <w:top w:val="single" w:color="000000" w:sz="4" w:space="0"/>
              <w:left w:val="single" w:color="000000" w:sz="4" w:space="0"/>
              <w:bottom w:val="single" w:color="000000" w:sz="4" w:space="0"/>
              <w:right w:val="single" w:color="000000" w:sz="4" w:space="0"/>
            </w:tcBorders>
            <w:noWrap w:val="0"/>
            <w:vAlign w:val="center"/>
          </w:tcPr>
          <w:p w14:paraId="215C61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饶河镇（饶河村、三义村、振兴村、镇北村）；国有土地（东方红林业局）、饶河农场（飞地）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57C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Ⅱ</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A1817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37333</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C7003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w:t>
            </w:r>
          </w:p>
        </w:tc>
      </w:tr>
      <w:tr w14:paraId="7442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60952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587DEC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2305242025000</w:t>
            </w:r>
            <w:r>
              <w:rPr>
                <w:rFonts w:hint="default" w:ascii="Times New Roman" w:hAnsi="Times New Roman" w:eastAsia="仿宋_GB2312" w:cs="Times New Roman"/>
                <w:i w:val="0"/>
                <w:iCs w:val="0"/>
                <w:color w:val="000000"/>
                <w:kern w:val="0"/>
                <w:sz w:val="21"/>
                <w:szCs w:val="21"/>
                <w:u w:val="none"/>
                <w:lang w:val="en-US" w:eastAsia="zh-CN" w:bidi="ar"/>
              </w:rPr>
              <w:t>3</w:t>
            </w:r>
          </w:p>
        </w:tc>
        <w:tc>
          <w:tcPr>
            <w:tcW w:w="7911" w:type="dxa"/>
            <w:tcBorders>
              <w:top w:val="single" w:color="000000" w:sz="4" w:space="0"/>
              <w:left w:val="single" w:color="000000" w:sz="4" w:space="0"/>
              <w:bottom w:val="single" w:color="000000" w:sz="4" w:space="0"/>
              <w:right w:val="single" w:color="000000" w:sz="4" w:space="0"/>
            </w:tcBorders>
            <w:noWrap w:val="0"/>
            <w:vAlign w:val="center"/>
          </w:tcPr>
          <w:p w14:paraId="39F266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胜利农场、红卫农场、八五九农场、洪河农场、前锋农场、西丰林场</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33889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Ⅲ</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E4E4A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17165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w:t>
            </w:r>
          </w:p>
        </w:tc>
      </w:tr>
      <w:tr w14:paraId="0118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673E6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1185C7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2305242025000</w:t>
            </w:r>
            <w:r>
              <w:rPr>
                <w:rFonts w:hint="default" w:ascii="Times New Roman" w:hAnsi="Times New Roman" w:eastAsia="仿宋_GB2312" w:cs="Times New Roman"/>
                <w:i w:val="0"/>
                <w:iCs w:val="0"/>
                <w:color w:val="000000"/>
                <w:kern w:val="0"/>
                <w:sz w:val="21"/>
                <w:szCs w:val="21"/>
                <w:u w:val="none"/>
                <w:lang w:val="en-US" w:eastAsia="zh-CN" w:bidi="ar"/>
              </w:rPr>
              <w:t>4</w:t>
            </w:r>
          </w:p>
        </w:tc>
        <w:tc>
          <w:tcPr>
            <w:tcW w:w="7911" w:type="dxa"/>
            <w:tcBorders>
              <w:top w:val="single" w:color="000000" w:sz="4" w:space="0"/>
              <w:left w:val="single" w:color="000000" w:sz="4" w:space="0"/>
              <w:bottom w:val="single" w:color="000000" w:sz="4" w:space="0"/>
              <w:right w:val="single" w:color="000000" w:sz="4" w:space="0"/>
            </w:tcBorders>
            <w:noWrap w:val="0"/>
            <w:vAlign w:val="center"/>
          </w:tcPr>
          <w:p w14:paraId="0784BF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饶河镇（王家店多种经营队、岭南村、朝阳村、森川林场）；小佳河镇（佳平村、佳河村、佳兴村、东鲜村、蛤蟆河子村、林海村、新村村、新风村）、西丰镇（西丰村）；五林洞镇（五林洞镇、西南岔村）；西林子乡（北山村、兰桥村、西林子村、靠山村、三人班村、沙河子村、西川河村、小南河村）；四排乡（平原村、四排村、曙光村、东河村、马架子林场）、大佳河乡（大佳河村、东升村）；山里乡（山里村）；大通河乡（太平村、青山村、永利村、永合村）；国有土地（东方红林业局、县林业局）；饶河农场（飞地）。</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03ACC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Ⅳ</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43149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30667</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56C40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w:t>
            </w:r>
          </w:p>
        </w:tc>
      </w:tr>
      <w:tr w14:paraId="0C91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019A7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2A300D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2305242025000</w:t>
            </w:r>
            <w:r>
              <w:rPr>
                <w:rFonts w:hint="default" w:ascii="Times New Roman" w:hAnsi="Times New Roman" w:eastAsia="仿宋_GB2312" w:cs="Times New Roman"/>
                <w:i w:val="0"/>
                <w:iCs w:val="0"/>
                <w:color w:val="000000"/>
                <w:kern w:val="0"/>
                <w:sz w:val="21"/>
                <w:szCs w:val="21"/>
                <w:u w:val="none"/>
                <w:lang w:val="en-US" w:eastAsia="zh-CN" w:bidi="ar"/>
              </w:rPr>
              <w:t>5</w:t>
            </w:r>
          </w:p>
        </w:tc>
        <w:tc>
          <w:tcPr>
            <w:tcW w:w="7911" w:type="dxa"/>
            <w:tcBorders>
              <w:top w:val="single" w:color="000000" w:sz="4" w:space="0"/>
              <w:left w:val="single" w:color="000000" w:sz="4" w:space="0"/>
              <w:bottom w:val="single" w:color="000000" w:sz="4" w:space="0"/>
              <w:right w:val="single" w:color="000000" w:sz="4" w:space="0"/>
            </w:tcBorders>
            <w:noWrap w:val="0"/>
            <w:vAlign w:val="center"/>
          </w:tcPr>
          <w:p w14:paraId="398548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西丰林场、威山林场、河口林场、五林洞林场、永幸林场、大岱林场、石场林场、大牙克林场、奇源林场、宝马山林场、小佳河林场、饶河镇（昌盛村）；西丰镇（连丰村、迎丰村）；五林洞镇（关门村、大带村）；西林子乡（柳兰村）；国有土地（东方红林业局）。</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5881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Ⅴ</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C3FCE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FBE1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w:t>
            </w:r>
          </w:p>
        </w:tc>
      </w:tr>
      <w:tr w14:paraId="4E30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01D80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284AC2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2305242025000</w:t>
            </w:r>
            <w:r>
              <w:rPr>
                <w:rFonts w:hint="default" w:ascii="Times New Roman" w:hAnsi="Times New Roman" w:eastAsia="仿宋_GB2312" w:cs="Times New Roman"/>
                <w:i w:val="0"/>
                <w:iCs w:val="0"/>
                <w:color w:val="000000"/>
                <w:kern w:val="0"/>
                <w:sz w:val="21"/>
                <w:szCs w:val="21"/>
                <w:u w:val="none"/>
                <w:lang w:val="en-US" w:eastAsia="zh-CN" w:bidi="ar"/>
              </w:rPr>
              <w:t>6</w:t>
            </w:r>
          </w:p>
        </w:tc>
        <w:tc>
          <w:tcPr>
            <w:tcW w:w="7911" w:type="dxa"/>
            <w:tcBorders>
              <w:top w:val="single" w:color="000000" w:sz="4" w:space="0"/>
              <w:left w:val="single" w:color="000000" w:sz="4" w:space="0"/>
              <w:bottom w:val="single" w:color="000000" w:sz="4" w:space="0"/>
              <w:right w:val="single" w:color="000000" w:sz="4" w:space="0"/>
            </w:tcBorders>
            <w:noWrap w:val="0"/>
            <w:vAlign w:val="center"/>
          </w:tcPr>
          <w:p w14:paraId="4EFF8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佳河镇（蜂场村、永丰村、富饶村、杏树村、吉龙村、创新村）；西丰镇（东南村、长山村、良种场、东林村、五道桥村、莲花村、乐山村、河南村、河北村、联合村、富丰村、芦源村、苇子沟村、果树场、渔丰村）；五林洞镇（鹿山村）；大佳河乡（东升村、永前村、种畜场、前唐村、富山村、富河村、桦林村、永发村、永胜村、永富村）；山里乡（二林子村、奋斗村、山河村、三道岗村、新利村、二道岗村、光明村、双河村）；大通河乡（兴隆村、镇江村、永明村、通河林场）、国有土地（县苗圃、东方红林业局、县林业局）</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D9F75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Ⅵ</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8C70F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22667</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AFB48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r>
    </w:tbl>
    <w:p w14:paraId="727234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color w:val="auto"/>
          <w:sz w:val="24"/>
          <w:szCs w:val="24"/>
          <w:lang w:val="en-US" w:eastAsia="zh-CN"/>
        </w:rPr>
      </w:pPr>
    </w:p>
    <w:p w14:paraId="566614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color w:val="auto"/>
          <w:sz w:val="32"/>
          <w:szCs w:val="32"/>
          <w:lang w:val="en-US" w:eastAsia="zh-CN"/>
        </w:rPr>
        <w:sectPr>
          <w:pgSz w:w="16838" w:h="11906" w:orient="landscape"/>
          <w:pgMar w:top="2098" w:right="1474" w:bottom="1984" w:left="1587" w:header="851" w:footer="992" w:gutter="0"/>
          <w:pgNumType w:fmt="decimal"/>
          <w:cols w:space="0" w:num="1"/>
          <w:rtlGutter w:val="0"/>
          <w:docGrid w:type="lines" w:linePitch="312" w:charSpace="0"/>
        </w:sectPr>
      </w:pPr>
    </w:p>
    <w:p w14:paraId="0BE060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402D9"/>
    <w:rsid w:val="0554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2026-06-25T01:03:00Z</dcterms:created>
  <dc:creator>ā á ǎ à</dc:creator>
  <cp:lastModifiedBy>ā á ǎ à</cp:lastModifiedBy>
  <dcterms:modified xsi:type="dcterms:W3CDTF">2026-06-25T01:04:30Z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96E1C90D8EC94C458FB141422C5B9D2B_11</vt:lpwstr>
  </property>
  <property fmtid="{D5CDD505-2E9C-101B-9397-08002B2CF9AE}" pid="4" name="KSOTemplateDocerSaveRecord">
    <vt:lpwstr>eyJoZGlkIjoiZjc4MWM4MDRlYjA0YTFmNjI1OWIxMDg2NmJlZDhiMzAiLCJ1c2VySWQiOiI2MDY0OTM3MTEifQ==</vt:lpwstr>
  </property>
</Properties>
</file>