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 w:hAnsi="仿宋" w:eastAsia="仿宋" w:cs="仿宋"/>
          <w:b/>
          <w:bCs/>
          <w:sz w:val="44"/>
          <w:szCs w:val="44"/>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双鸭山市中共饶河县直属机关工作委员会</w:t>
      </w: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2019年度部门决算信息及有关</w:t>
      </w:r>
    </w:p>
    <w:p>
      <w:pPr>
        <w:spacing w:line="360" w:lineRule="auto"/>
        <w:jc w:val="center"/>
        <w:rPr>
          <w:rFonts w:ascii="仿宋" w:hAnsi="仿宋" w:eastAsia="仿宋" w:cs="仿宋"/>
          <w:b/>
          <w:bCs/>
          <w:sz w:val="52"/>
          <w:szCs w:val="52"/>
        </w:rPr>
      </w:pPr>
      <w:r>
        <w:rPr>
          <w:rFonts w:hint="eastAsia" w:ascii="仿宋" w:hAnsi="仿宋" w:eastAsia="仿宋" w:cs="仿宋"/>
          <w:b/>
          <w:bCs/>
          <w:sz w:val="44"/>
          <w:szCs w:val="44"/>
        </w:rPr>
        <w:t>情况说明</w:t>
      </w:r>
    </w:p>
    <w:p>
      <w:pPr>
        <w:spacing w:line="360" w:lineRule="auto"/>
        <w:jc w:val="center"/>
        <w:rPr>
          <w:rFonts w:ascii="仿宋" w:hAnsi="仿宋" w:eastAsia="仿宋" w:cs="仿宋"/>
          <w:b/>
          <w:bCs/>
          <w:sz w:val="44"/>
          <w:szCs w:val="44"/>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目录</w:t>
      </w:r>
    </w:p>
    <w:p>
      <w:pPr>
        <w:spacing w:line="360" w:lineRule="auto"/>
        <w:jc w:val="center"/>
        <w:rPr>
          <w:rFonts w:ascii="仿宋" w:hAnsi="仿宋" w:eastAsia="仿宋" w:cs="仿宋"/>
          <w:b/>
          <w:bCs/>
          <w:sz w:val="44"/>
          <w:szCs w:val="44"/>
        </w:rPr>
      </w:pPr>
    </w:p>
    <w:p>
      <w:pPr>
        <w:widowControl/>
        <w:spacing w:line="360" w:lineRule="auto"/>
        <w:jc w:val="center"/>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第一部分单位基本情况</w:t>
      </w:r>
    </w:p>
    <w:p>
      <w:pPr>
        <w:widowControl/>
        <w:numPr>
          <w:ilvl w:val="0"/>
          <w:numId w:val="1"/>
        </w:numPr>
        <w:spacing w:line="360" w:lineRule="auto"/>
        <w:rPr>
          <w:rFonts w:ascii="仿宋" w:hAnsi="仿宋" w:eastAsia="仿宋" w:cs="仿宋"/>
          <w:sz w:val="32"/>
          <w:szCs w:val="32"/>
        </w:rPr>
      </w:pPr>
      <w:r>
        <w:rPr>
          <w:rFonts w:hint="eastAsia" w:ascii="仿宋" w:hAnsi="仿宋" w:eastAsia="仿宋" w:cs="仿宋"/>
          <w:sz w:val="32"/>
          <w:szCs w:val="32"/>
        </w:rPr>
        <w:t>部门职责</w:t>
      </w:r>
    </w:p>
    <w:p>
      <w:pPr>
        <w:widowControl/>
        <w:numPr>
          <w:ilvl w:val="0"/>
          <w:numId w:val="1"/>
        </w:numPr>
        <w:spacing w:line="360" w:lineRule="auto"/>
        <w:jc w:val="left"/>
        <w:rPr>
          <w:rFonts w:ascii="仿宋" w:hAnsi="仿宋" w:eastAsia="仿宋" w:cs="仿宋"/>
          <w:sz w:val="32"/>
          <w:szCs w:val="32"/>
        </w:rPr>
      </w:pPr>
      <w:r>
        <w:rPr>
          <w:rFonts w:hint="eastAsia" w:ascii="仿宋" w:hAnsi="仿宋" w:eastAsia="仿宋" w:cs="仿宋"/>
          <w:sz w:val="32"/>
          <w:szCs w:val="32"/>
        </w:rPr>
        <w:t>机构设置</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三、部门决算编报范围及</w:t>
      </w:r>
      <w:r>
        <w:rPr>
          <w:rFonts w:hint="eastAsia" w:ascii="仿宋" w:hAnsi="仿宋" w:eastAsia="仿宋" w:cs="仿宋"/>
          <w:sz w:val="32"/>
          <w:szCs w:val="32"/>
        </w:rPr>
        <w:t>人员构成</w:t>
      </w:r>
    </w:p>
    <w:p>
      <w:pPr>
        <w:widowControl/>
        <w:spacing w:line="360" w:lineRule="auto"/>
        <w:jc w:val="left"/>
        <w:rPr>
          <w:rFonts w:ascii="仿宋" w:hAnsi="仿宋" w:eastAsia="仿宋" w:cs="仿宋"/>
          <w:sz w:val="32"/>
          <w:szCs w:val="32"/>
        </w:rPr>
      </w:pPr>
    </w:p>
    <w:p>
      <w:pPr>
        <w:spacing w:line="360" w:lineRule="auto"/>
        <w:ind w:firstLine="964" w:firstLineChars="300"/>
        <w:rPr>
          <w:rFonts w:ascii="仿宋" w:hAnsi="仿宋" w:eastAsia="仿宋" w:cs="仿宋"/>
          <w:b/>
          <w:sz w:val="32"/>
          <w:szCs w:val="32"/>
        </w:rPr>
      </w:pPr>
      <w:r>
        <w:rPr>
          <w:rFonts w:hint="eastAsia" w:ascii="仿宋" w:hAnsi="仿宋" w:eastAsia="仿宋" w:cs="仿宋"/>
          <w:b/>
          <w:sz w:val="32"/>
          <w:szCs w:val="32"/>
        </w:rPr>
        <w:t>第二部分2019年部门预算执行总体情况说明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一、收入支出决算总体情况说明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二、收入决算情况说明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四、 财政拨款收入支出决算总体情况说明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五、一般公共预算财政拨款支出决算情况说明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六、一般公共预算财政拨款基本支出情况说明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七、一般公共预算财政拨款“三公”经费支出决算情况说明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八、政府性基金预算财政拨款收入支出决算情况说明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九、预算绩效管理工作开展情况说明。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十、其他重要事项情况说明</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（一）机关运行经费支出情况</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（二）政府采购支出情况</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（三）国有资产占用情况</w:t>
      </w:r>
    </w:p>
    <w:p>
      <w:pPr>
        <w:widowControl/>
        <w:spacing w:line="360" w:lineRule="auto"/>
        <w:jc w:val="left"/>
        <w:rPr>
          <w:rFonts w:ascii="仿宋" w:hAnsi="仿宋" w:eastAsia="仿宋" w:cs="仿宋"/>
          <w:sz w:val="30"/>
          <w:szCs w:val="30"/>
        </w:rPr>
      </w:pPr>
    </w:p>
    <w:p>
      <w:pPr>
        <w:numPr>
          <w:ilvl w:val="0"/>
          <w:numId w:val="2"/>
        </w:numPr>
        <w:spacing w:line="360" w:lineRule="auto"/>
        <w:jc w:val="center"/>
        <w:rPr>
          <w:rFonts w:ascii="仿宋" w:hAnsi="仿宋" w:eastAsia="仿宋" w:cs="仿宋"/>
          <w:b/>
          <w:sz w:val="32"/>
          <w:szCs w:val="32"/>
        </w:rPr>
      </w:pPr>
      <w:r>
        <w:rPr>
          <w:rFonts w:hint="eastAsia" w:ascii="仿宋" w:hAnsi="仿宋" w:eastAsia="仿宋" w:cs="仿宋"/>
          <w:b/>
          <w:sz w:val="32"/>
          <w:szCs w:val="32"/>
        </w:rPr>
        <w:t>名词解释</w:t>
      </w:r>
    </w:p>
    <w:p>
      <w:pPr>
        <w:spacing w:line="360" w:lineRule="auto"/>
        <w:rPr>
          <w:rFonts w:ascii="仿宋" w:hAnsi="仿宋" w:eastAsia="仿宋" w:cs="仿宋"/>
          <w:b/>
          <w:sz w:val="32"/>
          <w:szCs w:val="32"/>
        </w:rPr>
      </w:pPr>
    </w:p>
    <w:p>
      <w:pPr>
        <w:spacing w:line="360" w:lineRule="auto"/>
        <w:rPr>
          <w:rFonts w:ascii="仿宋" w:hAnsi="仿宋" w:eastAsia="仿宋" w:cs="仿宋"/>
          <w:b/>
          <w:sz w:val="32"/>
          <w:szCs w:val="32"/>
        </w:rPr>
      </w:pPr>
    </w:p>
    <w:p>
      <w:pPr>
        <w:spacing w:line="360" w:lineRule="auto"/>
        <w:jc w:val="center"/>
        <w:rPr>
          <w:rFonts w:ascii="仿宋" w:hAnsi="仿宋" w:eastAsia="仿宋" w:cs="仿宋"/>
          <w:b/>
          <w:sz w:val="32"/>
          <w:szCs w:val="32"/>
        </w:rPr>
      </w:pPr>
      <w:r>
        <w:rPr>
          <w:rFonts w:hint="eastAsia" w:ascii="仿宋" w:hAnsi="仿宋" w:eastAsia="仿宋" w:cs="仿宋"/>
          <w:b/>
          <w:sz w:val="32"/>
          <w:szCs w:val="32"/>
        </w:rPr>
        <w:t>第四部分2019年度部门决算公开表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财政拨款收入支出决算总表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一般公共预算财政拨款基本支出决算表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一般公共预算财政拨款“三公”经费支出决算表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政府性基金预算财政拨款收入支出决算表</w:t>
      </w: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第一部分单位基本情况</w:t>
      </w:r>
    </w:p>
    <w:p>
      <w:pPr>
        <w:spacing w:line="360" w:lineRule="auto"/>
        <w:rPr>
          <w:rFonts w:ascii="仿宋" w:hAnsi="仿宋" w:eastAsia="仿宋" w:cs="仿宋"/>
          <w:b/>
          <w:bCs/>
          <w:sz w:val="32"/>
          <w:szCs w:val="32"/>
        </w:rPr>
      </w:pPr>
    </w:p>
    <w:p>
      <w:pPr>
        <w:numPr>
          <w:ilvl w:val="0"/>
          <w:numId w:val="4"/>
        </w:num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部门职责</w:t>
      </w:r>
    </w:p>
    <w:p>
      <w:pPr>
        <w:spacing w:line="360" w:lineRule="auto"/>
        <w:ind w:firstLine="640" w:firstLineChars="200"/>
        <w:rPr>
          <w:rFonts w:ascii="仿宋_GB2312" w:hAnsi="仿宋" w:eastAsia="仿宋_GB2312" w:cs="仿宋"/>
          <w:b/>
          <w:bCs/>
          <w:sz w:val="32"/>
          <w:szCs w:val="32"/>
        </w:rPr>
      </w:pPr>
      <w:r>
        <w:rPr>
          <w:rFonts w:hint="eastAsia" w:ascii="黑体" w:hAnsi="黑体" w:eastAsia="黑体"/>
          <w:sz w:val="32"/>
          <w:szCs w:val="32"/>
        </w:rPr>
        <w:t xml:space="preserve">第一条  </w:t>
      </w:r>
      <w:r>
        <w:rPr>
          <w:rFonts w:hint="eastAsia" w:ascii="仿宋_GB2312" w:hAnsi="黑体" w:eastAsia="仿宋_GB2312"/>
          <w:sz w:val="32"/>
          <w:szCs w:val="32"/>
        </w:rPr>
        <w:t>根据《中共黑龙江省委办公厅 黑龙江省人民政府办公厅关于印发&lt;饶河县机构改革方案&gt;的通知》（厅字〔2019〕66号），制定本规定。</w:t>
      </w:r>
    </w:p>
    <w:p>
      <w:pPr>
        <w:spacing w:line="360" w:lineRule="auto"/>
        <w:ind w:left="643"/>
        <w:rPr>
          <w:rFonts w:ascii="仿宋_GB2312" w:hAnsi="仿宋" w:eastAsia="仿宋_GB2312" w:cs="仿宋"/>
          <w:b/>
          <w:bCs/>
          <w:sz w:val="32"/>
          <w:szCs w:val="32"/>
        </w:rPr>
      </w:pPr>
      <w:r>
        <w:rPr>
          <w:rFonts w:hint="eastAsia" w:ascii="仿宋_GB2312" w:hAnsi="黑体" w:eastAsia="仿宋_GB2312"/>
          <w:sz w:val="32"/>
          <w:szCs w:val="32"/>
        </w:rPr>
        <w:t>第二条  中共饶河县直属机关工作委员会(简称县直机关工委)是县委主管县直机关党建工作的职能部门，为正科级。</w:t>
      </w:r>
    </w:p>
    <w:p>
      <w:pPr>
        <w:spacing w:line="580" w:lineRule="exact"/>
        <w:ind w:left="420" w:leftChars="200" w:firstLine="160" w:firstLineChars="50"/>
        <w:rPr>
          <w:rFonts w:ascii="仿宋_GB2312" w:hAnsi="黑体" w:eastAsia="仿宋_GB2312"/>
          <w:sz w:val="32"/>
          <w:szCs w:val="32"/>
        </w:rPr>
      </w:pPr>
      <w:r>
        <w:rPr>
          <w:rFonts w:hint="eastAsia" w:ascii="仿宋_GB2312" w:hAnsi="黑体" w:eastAsia="仿宋_GB2312"/>
          <w:sz w:val="32"/>
          <w:szCs w:val="32"/>
        </w:rPr>
        <w:t xml:space="preserve">第三条  </w:t>
      </w:r>
      <w:r>
        <w:rPr>
          <w:rFonts w:hint="eastAsia" w:ascii="仿宋_GB2312" w:hAnsi="仿宋" w:eastAsia="仿宋_GB2312" w:cs="仿宋"/>
          <w:sz w:val="32"/>
          <w:szCs w:val="32"/>
        </w:rPr>
        <w:t>县</w:t>
      </w:r>
      <w:r>
        <w:rPr>
          <w:rFonts w:hint="eastAsia" w:ascii="仿宋_GB2312" w:hAnsi="黑体" w:eastAsia="仿宋_GB2312"/>
          <w:sz w:val="32"/>
          <w:szCs w:val="32"/>
        </w:rPr>
        <w:t>直机关工委的主要职责是：</w:t>
      </w:r>
    </w:p>
    <w:p>
      <w:pPr>
        <w:spacing w:line="580" w:lineRule="exact"/>
        <w:ind w:firstLine="640" w:firstLineChars="200"/>
        <w:rPr>
          <w:rFonts w:ascii="仿宋_GB2312" w:hAnsi="Arial" w:eastAsia="仿宋_GB2312" w:cs="Arial"/>
          <w:sz w:val="32"/>
          <w:szCs w:val="32"/>
          <w:shd w:val="clear" w:color="auto" w:fill="FFFFFF"/>
        </w:rPr>
      </w:pPr>
      <w:r>
        <w:rPr>
          <w:rFonts w:hint="eastAsia" w:ascii="仿宋_GB2312" w:eastAsia="仿宋_GB2312"/>
          <w:sz w:val="32"/>
          <w:szCs w:val="32"/>
        </w:rPr>
        <w:t>（一）负责县直机关党建工作，</w:t>
      </w:r>
      <w:r>
        <w:rPr>
          <w:rFonts w:hint="eastAsia" w:ascii="仿宋_GB2312" w:hAnsi="Arial" w:eastAsia="仿宋_GB2312" w:cs="Arial"/>
          <w:sz w:val="32"/>
          <w:szCs w:val="32"/>
          <w:shd w:val="clear" w:color="auto" w:fill="FFFFFF"/>
        </w:rPr>
        <w:t>统一组织、规划、部署县直机关党的工作，提出加强和改进机关党的建设的意见和建议，研究制定工作规划，并抓好组织实施。</w:t>
      </w:r>
    </w:p>
    <w:p>
      <w:pPr>
        <w:spacing w:line="580" w:lineRule="exact"/>
        <w:ind w:firstLine="640" w:firstLineChars="200"/>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（二）指导县直机关党的政治建设、思想建设、组织建设、作风建设、纪律建设，把制度建设贯穿其中，深入推进反腐败斗争。</w:t>
      </w:r>
    </w:p>
    <w:p>
      <w:pPr>
        <w:spacing w:line="580" w:lineRule="exact"/>
        <w:ind w:firstLine="640" w:firstLineChars="200"/>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（三）指导县直机关各级党组织和广大党员学习马克思列宁主义、毛泽东思想、邓小平理论、“三个代表”重要思想、科学发展观、习近平新时代中国特色社会主义思想。</w:t>
      </w:r>
    </w:p>
    <w:p>
      <w:pPr>
        <w:spacing w:line="580" w:lineRule="exact"/>
        <w:ind w:firstLine="640" w:firstLineChars="200"/>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（四）对县直机关各级党组织、党员领导干部落实党建责任制、遵守政治纪律和政治规矩情况进行监督检查，并向县委报告。</w:t>
      </w:r>
    </w:p>
    <w:p>
      <w:pPr>
        <w:spacing w:line="580" w:lineRule="exact"/>
        <w:ind w:firstLine="640" w:firstLineChars="200"/>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（五）指导县直机关各级党组织实施对党员特别是党员领导干部的监督和管理，及时向县委反映各单位领导班子、领导干部的情况。</w:t>
      </w:r>
    </w:p>
    <w:p>
      <w:pPr>
        <w:spacing w:line="580" w:lineRule="exact"/>
        <w:ind w:firstLine="640" w:firstLineChars="200"/>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（六）配合县委有关部门抓好县直机关各单位领导班子思想政治建设，参与对党员领导干部民主生活会和县直各单位党组理论学习中心组学习的督促检查和指导，了解掌握情况，按规定报送情况报告。</w:t>
      </w:r>
    </w:p>
    <w:p>
      <w:pPr>
        <w:spacing w:line="580" w:lineRule="exact"/>
        <w:ind w:firstLine="640" w:firstLineChars="200"/>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（七）督促指导县直机关各级党组织按期换届，审批关于召开党员大会或党员代表大会的请示，审批县直机关党组织领导班子的组成及书记、副书记的任免。</w:t>
      </w:r>
    </w:p>
    <w:p>
      <w:pPr>
        <w:spacing w:line="580" w:lineRule="exact"/>
        <w:ind w:firstLine="640" w:firstLineChars="200"/>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（八）指导县直机关各级党组织加强基层组织建设，做好党员发展、教育、管理等工作。</w:t>
      </w:r>
    </w:p>
    <w:p>
      <w:pPr>
        <w:spacing w:line="580" w:lineRule="exact"/>
        <w:ind w:firstLine="640" w:firstLineChars="200"/>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（九）了解掌握县直机关工作人员的思想状况，指导县直机关各级党组织加强思想政治工作和精神文明建设。</w:t>
      </w:r>
    </w:p>
    <w:p>
      <w:pPr>
        <w:spacing w:line="580" w:lineRule="exact"/>
        <w:ind w:firstLine="640" w:firstLineChars="200"/>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（十）领导县直机关工会、共青团、妇联等群团组织的工作，指导县直机关各级党组织做好党的群众工作和统一战线工作。</w:t>
      </w:r>
    </w:p>
    <w:p>
      <w:pPr>
        <w:spacing w:line="580" w:lineRule="exact"/>
        <w:ind w:firstLine="640" w:firstLineChars="200"/>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（十一）直接管理列入与行政脱钩范围的全县性行业协会商会党建工作，统筹负责县直各单位业务主管的全县性社会组织党建工作。</w:t>
      </w:r>
    </w:p>
    <w:p>
      <w:pPr>
        <w:spacing w:line="580" w:lineRule="exact"/>
        <w:ind w:firstLine="640" w:firstLineChars="200"/>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（十二）协同有关部门指导、规划、协调、监督、检查县直机关干部教育培训工作，培训轮训县直机关党员干部和党务干部。</w:t>
      </w:r>
    </w:p>
    <w:p>
      <w:pPr>
        <w:spacing w:line="580" w:lineRule="exact"/>
        <w:ind w:firstLine="640" w:firstLineChars="200"/>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（十三）负责县直单位民兵的思想教育、管理工作，民兵组织的整顿和民兵的训练工作，抓好应急分队的组织建设，做好年度征兵工作。</w:t>
      </w:r>
    </w:p>
    <w:p>
      <w:pPr>
        <w:spacing w:line="580" w:lineRule="exact"/>
        <w:ind w:firstLine="640" w:firstLineChars="200"/>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（十四）协助有关部门协调县直机关各部门做好维护稳定等工作。</w:t>
      </w:r>
    </w:p>
    <w:p>
      <w:pPr>
        <w:spacing w:line="580" w:lineRule="exact"/>
        <w:ind w:firstLine="640" w:firstLineChars="200"/>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（十五）完成县委交办的其他任务。</w:t>
      </w:r>
    </w:p>
    <w:p>
      <w:pPr>
        <w:numPr>
          <w:numId w:val="0"/>
        </w:num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lang w:eastAsia="zh-CN"/>
        </w:rPr>
        <w:t>二、</w:t>
      </w:r>
      <w:r>
        <w:rPr>
          <w:rFonts w:hint="eastAsia" w:ascii="仿宋" w:hAnsi="仿宋" w:eastAsia="仿宋" w:cs="仿宋"/>
          <w:b/>
          <w:bCs/>
          <w:sz w:val="32"/>
          <w:szCs w:val="32"/>
        </w:rPr>
        <w:t>机构设置</w:t>
      </w:r>
    </w:p>
    <w:p>
      <w:pPr>
        <w:spacing w:line="360" w:lineRule="auto"/>
        <w:ind w:firstLine="640" w:firstLineChars="200"/>
        <w:rPr>
          <w:rFonts w:ascii="仿宋_GB2312" w:hAnsi="黑体" w:eastAsia="仿宋_GB2312"/>
          <w:sz w:val="32"/>
          <w:szCs w:val="32"/>
        </w:rPr>
      </w:pPr>
      <w:r>
        <w:rPr>
          <w:rFonts w:hint="eastAsia" w:ascii="仿宋_GB2312" w:hAnsi="黑体" w:eastAsia="仿宋_GB2312"/>
          <w:color w:val="000000"/>
          <w:sz w:val="32"/>
          <w:szCs w:val="32"/>
        </w:rPr>
        <w:t>综合业务办公室</w:t>
      </w:r>
      <w:r>
        <w:rPr>
          <w:rFonts w:hint="eastAsia" w:ascii="仿宋_GB2312" w:hAnsi="黑体" w:eastAsia="仿宋_GB2312"/>
          <w:sz w:val="32"/>
          <w:szCs w:val="32"/>
        </w:rPr>
        <w:t>。</w:t>
      </w:r>
    </w:p>
    <w:p>
      <w:p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三、</w:t>
      </w:r>
      <w:r>
        <w:rPr>
          <w:rFonts w:hint="eastAsia" w:ascii="仿宋" w:hAnsi="仿宋" w:eastAsia="仿宋" w:cs="仿宋"/>
          <w:b/>
          <w:bCs/>
          <w:sz w:val="30"/>
          <w:szCs w:val="30"/>
        </w:rPr>
        <w:t>部门决算编报范围及</w:t>
      </w:r>
      <w:r>
        <w:rPr>
          <w:rFonts w:hint="eastAsia" w:ascii="仿宋" w:hAnsi="仿宋" w:eastAsia="仿宋" w:cs="仿宋"/>
          <w:b/>
          <w:bCs/>
          <w:sz w:val="32"/>
          <w:szCs w:val="32"/>
        </w:rPr>
        <w:t>人员构成</w:t>
      </w:r>
    </w:p>
    <w:p>
      <w:pPr>
        <w:widowControl/>
        <w:spacing w:after="230"/>
        <w:ind w:firstLine="480"/>
        <w:jc w:val="left"/>
        <w:rPr>
          <w:rFonts w:ascii="仿宋_GB2312" w:hAnsi="宋体" w:eastAsia="仿宋_GB2312"/>
          <w:color w:val="000000"/>
          <w:sz w:val="32"/>
          <w:szCs w:val="32"/>
        </w:rPr>
      </w:pPr>
      <w:r>
        <w:rPr>
          <w:rFonts w:hint="eastAsia" w:ascii="仿宋_GB2312" w:hAnsi="宋体" w:eastAsia="仿宋_GB2312"/>
          <w:color w:val="000000"/>
          <w:sz w:val="32"/>
          <w:szCs w:val="32"/>
        </w:rPr>
        <w:t>工委编制8人，在职8人。离休1人，退休4人</w:t>
      </w: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第二部分2019年部门预算执行总体情况说明</w:t>
      </w:r>
    </w:p>
    <w:p>
      <w:pPr>
        <w:spacing w:line="360" w:lineRule="auto"/>
        <w:jc w:val="left"/>
        <w:rPr>
          <w:rFonts w:ascii="仿宋" w:hAnsi="仿宋" w:eastAsia="仿宋" w:cs="仿宋"/>
          <w:sz w:val="32"/>
          <w:szCs w:val="32"/>
        </w:rPr>
      </w:pP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一、收入支出决算总体情况说明</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kern w:val="0"/>
          <w:sz w:val="30"/>
          <w:szCs w:val="30"/>
        </w:rPr>
        <w:t>2019年度部门决算收、支总计152万元，其中：本年收入76万元；用事业基金弥补收支差额0万元；年初结转和结余0万元；本年支出76万元；结余分配0万元，年末结转和结余0万元。</w:t>
      </w:r>
      <w:r>
        <w:rPr>
          <w:rFonts w:hint="eastAsia" w:ascii="仿宋" w:hAnsi="仿宋" w:eastAsia="仿宋" w:cs="仿宋"/>
          <w:sz w:val="30"/>
          <w:szCs w:val="30"/>
        </w:rPr>
        <w:t>与2018年度相比，收、支总计增加-14万元，同比增长-9%。主要原因：2019年活动开展较少。</w:t>
      </w:r>
    </w:p>
    <w:p>
      <w:pPr>
        <w:widowControl/>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二、收入决算情况说明</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本年收入合计</w:t>
      </w:r>
      <w:r>
        <w:rPr>
          <w:rFonts w:hint="eastAsia" w:ascii="仿宋" w:hAnsi="仿宋" w:eastAsia="仿宋" w:cs="仿宋"/>
          <w:kern w:val="0"/>
          <w:sz w:val="30"/>
          <w:szCs w:val="30"/>
        </w:rPr>
        <w:t>76</w:t>
      </w:r>
      <w:r>
        <w:rPr>
          <w:rFonts w:hint="eastAsia" w:ascii="仿宋" w:hAnsi="仿宋" w:eastAsia="仿宋" w:cs="仿宋"/>
          <w:sz w:val="30"/>
          <w:szCs w:val="30"/>
        </w:rPr>
        <w:t>万元，与2018年度相比，增加-7万元，同比增长-9%。主要原因：2019年活动开展较少。</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其中：财政拨款收入83万元，占收入合计的100%；事业收入0万元，占0%；其他收入0万元。</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三、支出决算情况说明</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本年支出合计76万元，与2018年度相比，增加-7万元，同比增长-9%。主要原因：2019年活动开展较少。</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其中：基本支出76万元，占支出合计的100%。</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四、财政拨款收入支出决算总体情况说明</w:t>
      </w:r>
    </w:p>
    <w:p>
      <w:pPr>
        <w:widowControl/>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2019年度财政拨款收、支总计152万元。与2018年度相比，财政拨款收、支总计各增加-14万元，增长-9%。主要原因：2019年活动开展较少。</w:t>
      </w:r>
    </w:p>
    <w:p>
      <w:pPr>
        <w:widowControl/>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五、一般公共预算财政拨款支出决算情况说明</w:t>
      </w:r>
    </w:p>
    <w:p>
      <w:pPr>
        <w:widowControl/>
        <w:spacing w:line="360" w:lineRule="auto"/>
        <w:ind w:firstLine="596" w:firstLineChars="198"/>
        <w:jc w:val="left"/>
        <w:rPr>
          <w:rFonts w:ascii="仿宋" w:hAnsi="仿宋" w:eastAsia="仿宋" w:cs="仿宋"/>
          <w:b/>
          <w:bCs/>
          <w:sz w:val="30"/>
          <w:szCs w:val="30"/>
        </w:rPr>
      </w:pPr>
      <w:r>
        <w:rPr>
          <w:rFonts w:hint="eastAsia" w:ascii="仿宋" w:hAnsi="仿宋" w:eastAsia="仿宋" w:cs="仿宋"/>
          <w:b/>
          <w:bCs/>
          <w:sz w:val="30"/>
          <w:szCs w:val="30"/>
        </w:rPr>
        <w:t>（一）一般公共预算财政拨款支出决算总体情况。</w:t>
      </w:r>
    </w:p>
    <w:p>
      <w:pPr>
        <w:widowControl/>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2019年度一般公共预算财政拨款支出76万元，与2018年决算数相比，增加-7万元，增长9%，主要原因是2019年活动开展较少。</w:t>
      </w:r>
    </w:p>
    <w:p>
      <w:pPr>
        <w:widowControl/>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（二）一般公共预算财政拨款支出决算结构情况。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度一般公共预算财政拨款支出76万元，主要用于以下方面：一般公共服务支出44万元，占57.8%；社会保障和就业支出（类）13万元，占17.1%；医疗卫生与计划生育支出（类）6万元，占8%；住房保障支出（类）13万元，占17.1%。</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（三）一般公共预算财政拨款支出决算具体情况。</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2019年度一般公共预算财政拨款支出年初预算为76万元，支出决算为76万元，完成年初预算的100%。</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六、一般公共预算财政拨款基本支出决算情况说明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2019年度一般公共预算财政拨款基本支出76万元，其中：</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人员经费72万元，主要包括：基本工资、津贴补贴、奖金、住房公积金、其他工资福利支出、退休费、抚恤金、生活补助、奖励金、其他对个人和家庭的补助支出。</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公用经费4万元，主要包括：办公费、维修（护）费、培训费。</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七、一般公共预算财政拨款“三公”经费支出决算情况说明</w:t>
      </w:r>
    </w:p>
    <w:p>
      <w:pPr>
        <w:widowControl/>
        <w:spacing w:after="230"/>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县直机关工委2019年没有三公经费支出。</w:t>
      </w:r>
    </w:p>
    <w:p>
      <w:pPr>
        <w:widowControl/>
        <w:spacing w:line="360" w:lineRule="auto"/>
        <w:ind w:firstLine="636" w:firstLineChars="198"/>
        <w:jc w:val="left"/>
        <w:rPr>
          <w:rFonts w:hint="eastAsia" w:ascii="仿宋" w:hAnsi="仿宋" w:eastAsia="仿宋" w:cs="仿宋"/>
          <w:b/>
          <w:bCs/>
          <w:sz w:val="32"/>
          <w:szCs w:val="32"/>
        </w:rPr>
      </w:pPr>
      <w:r>
        <w:rPr>
          <w:rFonts w:hint="eastAsia" w:ascii="仿宋" w:hAnsi="仿宋" w:eastAsia="仿宋" w:cs="仿宋"/>
          <w:b/>
          <w:bCs/>
          <w:sz w:val="32"/>
          <w:szCs w:val="32"/>
        </w:rPr>
        <w:t>八、政府性基金预算财政拨款收入支出决算情况说明</w:t>
      </w:r>
    </w:p>
    <w:p>
      <w:pPr>
        <w:widowControl/>
        <w:spacing w:line="360" w:lineRule="auto"/>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没有此种情况</w:t>
      </w:r>
    </w:p>
    <w:p>
      <w:pPr>
        <w:widowControl/>
        <w:numPr>
          <w:ilvl w:val="0"/>
          <w:numId w:val="5"/>
        </w:numPr>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预算绩效管理工作开展情况说明。</w:t>
      </w:r>
    </w:p>
    <w:p>
      <w:pPr>
        <w:widowControl/>
        <w:spacing w:line="360" w:lineRule="auto"/>
        <w:ind w:firstLine="640" w:firstLineChars="200"/>
        <w:jc w:val="left"/>
        <w:rPr>
          <w:rFonts w:hint="eastAsia" w:ascii="仿宋" w:hAnsi="仿宋" w:eastAsia="仿宋" w:cs="仿宋"/>
          <w:b/>
          <w:bCs/>
          <w:sz w:val="32"/>
          <w:szCs w:val="32"/>
        </w:rPr>
      </w:pPr>
      <w:r>
        <w:rPr>
          <w:rFonts w:hint="eastAsia" w:ascii="仿宋" w:hAnsi="仿宋" w:eastAsia="仿宋" w:cs="仿宋"/>
          <w:sz w:val="32"/>
          <w:szCs w:val="32"/>
        </w:rPr>
        <w:t>2019年度没有1万元以上项目、政府购买公共服务项目和市级以上专项，故没有开展绩效评价工作。</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十、其他重要事项情况说明</w:t>
      </w:r>
    </w:p>
    <w:p>
      <w:pPr>
        <w:widowControl/>
        <w:spacing w:after="230"/>
        <w:ind w:firstLine="640" w:firstLineChars="200"/>
        <w:jc w:val="left"/>
        <w:rPr>
          <w:rFonts w:hint="eastAsia" w:ascii="仿宋" w:hAnsi="仿宋" w:eastAsia="仿宋" w:cs="仿宋"/>
          <w:b/>
          <w:bCs/>
          <w:color w:val="333333"/>
          <w:kern w:val="0"/>
          <w:sz w:val="32"/>
          <w:szCs w:val="32"/>
        </w:rPr>
      </w:pPr>
      <w:r>
        <w:rPr>
          <w:rFonts w:hint="eastAsia" w:ascii="仿宋" w:hAnsi="仿宋" w:eastAsia="仿宋" w:cs="仿宋"/>
          <w:sz w:val="32"/>
          <w:szCs w:val="32"/>
        </w:rPr>
        <w:t>县直机关工委固定资产期末总额为：40870元。通用设备：34520元。家具、用具、装具及动植物：6350元。没有个人占用国有资产情况。</w:t>
      </w: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第三部分名词解释</w:t>
      </w:r>
    </w:p>
    <w:p>
      <w:pPr>
        <w:spacing w:line="360" w:lineRule="auto"/>
        <w:rPr>
          <w:rFonts w:ascii="仿宋" w:hAnsi="仿宋" w:eastAsia="仿宋" w:cs="仿宋"/>
          <w:sz w:val="30"/>
          <w:szCs w:val="30"/>
        </w:rPr>
      </w:pPr>
    </w:p>
    <w:p>
      <w:pPr>
        <w:spacing w:line="360" w:lineRule="auto"/>
        <w:ind w:firstLine="660"/>
        <w:rPr>
          <w:rFonts w:ascii="仿宋" w:hAnsi="仿宋" w:eastAsia="仿宋" w:cs="仿宋"/>
          <w:sz w:val="32"/>
          <w:szCs w:val="32"/>
        </w:rPr>
      </w:pPr>
      <w:r>
        <w:rPr>
          <w:rFonts w:hint="eastAsia" w:ascii="仿宋" w:hAnsi="仿宋" w:eastAsia="仿宋" w:cs="仿宋"/>
          <w:sz w:val="30"/>
          <w:szCs w:val="30"/>
        </w:rPr>
        <w:t>根据《2019年政府收支分类科目》对2019年度部门决算公开中相关名词解释如下：</w:t>
      </w:r>
      <w:r>
        <w:rPr>
          <w:rFonts w:hint="eastAsia" w:ascii="仿宋" w:hAnsi="仿宋" w:eastAsia="仿宋" w:cs="仿宋"/>
          <w:sz w:val="30"/>
          <w:szCs w:val="30"/>
        </w:rPr>
        <w:br w:type="textWrapping"/>
      </w:r>
      <w:r>
        <w:rPr>
          <w:rFonts w:hint="eastAsia" w:ascii="仿宋" w:hAnsi="仿宋" w:eastAsia="仿宋" w:cs="仿宋"/>
          <w:sz w:val="30"/>
          <w:szCs w:val="30"/>
        </w:rPr>
        <w:t>　　财政拨款收入：反映财政部门用公共预算收入安排的预</w:t>
      </w:r>
      <w:r>
        <w:rPr>
          <w:rFonts w:hint="eastAsia" w:ascii="仿宋" w:hAnsi="仿宋" w:eastAsia="仿宋" w:cs="仿宋"/>
          <w:sz w:val="32"/>
          <w:szCs w:val="32"/>
        </w:rPr>
        <w:t>算单位资金。</w:t>
      </w:r>
    </w:p>
    <w:p>
      <w:pPr>
        <w:spacing w:line="360" w:lineRule="auto"/>
        <w:ind w:firstLine="660"/>
        <w:rPr>
          <w:rFonts w:ascii="仿宋" w:hAnsi="仿宋" w:eastAsia="仿宋" w:cs="仿宋"/>
          <w:color w:val="111111"/>
          <w:kern w:val="0"/>
          <w:sz w:val="30"/>
          <w:szCs w:val="30"/>
        </w:rPr>
      </w:pPr>
      <w:r>
        <w:rPr>
          <w:rFonts w:hint="eastAsia" w:ascii="仿宋" w:hAnsi="仿宋" w:eastAsia="仿宋" w:cs="仿宋"/>
          <w:sz w:val="30"/>
          <w:szCs w:val="30"/>
        </w:rPr>
        <w:t>一般公共预算拨款</w:t>
      </w:r>
      <w:r>
        <w:rPr>
          <w:rFonts w:hint="eastAsia" w:ascii="仿宋" w:hAnsi="仿宋" w:eastAsia="仿宋" w:cs="仿宋"/>
          <w:bCs/>
          <w:color w:val="111111"/>
          <w:kern w:val="0"/>
          <w:sz w:val="30"/>
          <w:szCs w:val="30"/>
        </w:rPr>
        <w:t>：</w:t>
      </w:r>
      <w:r>
        <w:rPr>
          <w:rFonts w:hint="eastAsia" w:ascii="仿宋" w:hAnsi="仿宋" w:eastAsia="仿宋" w:cs="仿宋"/>
          <w:color w:val="111111"/>
          <w:kern w:val="0"/>
          <w:sz w:val="30"/>
          <w:szCs w:val="30"/>
        </w:rPr>
        <w:t>指单位本年度从区级财政部门取得的财政拨款。</w:t>
      </w:r>
    </w:p>
    <w:p>
      <w:pPr>
        <w:widowControl/>
        <w:spacing w:line="360" w:lineRule="auto"/>
        <w:ind w:firstLine="600" w:firstLineChars="200"/>
        <w:jc w:val="left"/>
        <w:rPr>
          <w:rFonts w:ascii="仿宋" w:hAnsi="仿宋" w:eastAsia="仿宋" w:cs="仿宋"/>
          <w:i/>
          <w:iCs/>
          <w:color w:val="111111"/>
          <w:kern w:val="0"/>
          <w:sz w:val="30"/>
          <w:szCs w:val="30"/>
        </w:rPr>
      </w:pPr>
      <w:r>
        <w:rPr>
          <w:rFonts w:hint="eastAsia" w:ascii="仿宋" w:hAnsi="仿宋" w:eastAsia="仿宋" w:cs="仿宋"/>
          <w:bCs/>
          <w:color w:val="111111"/>
          <w:kern w:val="0"/>
          <w:sz w:val="30"/>
          <w:szCs w:val="30"/>
        </w:rPr>
        <w:t>事业收入：</w:t>
      </w:r>
      <w:r>
        <w:rPr>
          <w:rFonts w:hint="eastAsia" w:ascii="仿宋" w:hAnsi="仿宋" w:eastAsia="仿宋" w:cs="仿宋"/>
          <w:color w:val="111111"/>
          <w:kern w:val="0"/>
          <w:sz w:val="30"/>
          <w:szCs w:val="30"/>
        </w:rPr>
        <w:t>指事业单位开展专业业务活动及其辅助活动取得的收入，事业单位收到的财政专户实际核拨的教育收费等资金在此反映。</w:t>
      </w:r>
    </w:p>
    <w:p>
      <w:pPr>
        <w:widowControl/>
        <w:spacing w:line="360" w:lineRule="auto"/>
        <w:ind w:firstLine="645"/>
        <w:jc w:val="left"/>
        <w:rPr>
          <w:rFonts w:ascii="仿宋" w:hAnsi="仿宋" w:eastAsia="仿宋" w:cs="仿宋"/>
          <w:color w:val="111111"/>
          <w:kern w:val="0"/>
          <w:sz w:val="30"/>
          <w:szCs w:val="30"/>
        </w:rPr>
      </w:pPr>
      <w:r>
        <w:rPr>
          <w:rFonts w:hint="eastAsia" w:ascii="仿宋" w:hAnsi="仿宋" w:eastAsia="仿宋" w:cs="仿宋"/>
          <w:bCs/>
          <w:color w:val="111111"/>
          <w:kern w:val="0"/>
          <w:sz w:val="30"/>
          <w:szCs w:val="30"/>
        </w:rPr>
        <w:t>其他收入：</w:t>
      </w:r>
      <w:r>
        <w:rPr>
          <w:rFonts w:hint="eastAsia" w:ascii="仿宋" w:hAnsi="仿宋" w:eastAsia="仿宋" w:cs="仿宋"/>
          <w:color w:val="111111"/>
          <w:kern w:val="0"/>
          <w:sz w:val="30"/>
          <w:szCs w:val="30"/>
        </w:rPr>
        <w:t>指单位取得的除上述“财政拨款收入”、“事业收入”、“经营收入”等以外的各项收入。</w:t>
      </w:r>
    </w:p>
    <w:p>
      <w:pPr>
        <w:widowControl/>
        <w:spacing w:line="360" w:lineRule="auto"/>
        <w:jc w:val="left"/>
        <w:rPr>
          <w:rFonts w:ascii="仿宋" w:hAnsi="仿宋" w:eastAsia="仿宋" w:cs="仿宋"/>
          <w:color w:val="111111"/>
          <w:kern w:val="0"/>
          <w:sz w:val="30"/>
          <w:szCs w:val="30"/>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0"/>
          <w:szCs w:val="30"/>
        </w:rPr>
        <w:t>用事业基金弥补收支差额：</w:t>
      </w:r>
      <w:r>
        <w:rPr>
          <w:rFonts w:hint="eastAsia" w:ascii="仿宋" w:hAnsi="仿宋" w:eastAsia="仿宋" w:cs="仿宋"/>
          <w:color w:val="111111"/>
          <w:kern w:val="0"/>
          <w:sz w:val="30"/>
          <w:szCs w:val="30"/>
        </w:rPr>
        <w:t>指事业单位用事业基金弥补当年收支差额的数额。 </w:t>
      </w:r>
    </w:p>
    <w:p>
      <w:pPr>
        <w:widowControl/>
        <w:spacing w:line="360" w:lineRule="auto"/>
        <w:jc w:val="left"/>
        <w:rPr>
          <w:rFonts w:ascii="仿宋" w:hAnsi="仿宋" w:eastAsia="仿宋" w:cs="仿宋"/>
          <w:color w:val="111111"/>
          <w:kern w:val="0"/>
          <w:sz w:val="30"/>
          <w:szCs w:val="30"/>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0"/>
          <w:szCs w:val="30"/>
        </w:rPr>
        <w:t>年初结转和结余：</w:t>
      </w:r>
      <w:r>
        <w:rPr>
          <w:rFonts w:hint="eastAsia" w:ascii="仿宋" w:hAnsi="仿宋" w:eastAsia="仿宋" w:cs="仿宋"/>
          <w:color w:val="111111"/>
          <w:kern w:val="0"/>
          <w:sz w:val="30"/>
          <w:szCs w:val="30"/>
        </w:rPr>
        <w:t>指单位上年结转本年使用的基本支出结转、项目支出结转和结余和经营结余。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年末结转和结余资金：指本年度或以前年度预算安排、因客观条件发生变化无法按原计划实施，需要延迟到以后年度按有关规定继续使用的资金。</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一般公共财政预算支出：反映公共财政预算收入安排的支出。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对个人和家庭的补助：反映政府用于对个人和家庭的补助支出。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政府性基金预算：对依照法律、行政法规的规定，在一定期限内向特定对象征收、收取或者其他方式筹集的资金，专项用于特定公共事业发展的收支预算。</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政府性基金支出：反映政府基金收入按排的支出。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基本支出：指为保障机构正常运转、完成日常工作任务而发生的人员支出和公用支出。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项目支出：指在基本支出之外为完成特定的行政任务或事业发展目标所发生的支出。</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政府采购：指国家各级政府为从事日常的政务活动或为了满足公共服务的目的，利用国家</w:t>
      </w:r>
      <w:r>
        <w:fldChar w:fldCharType="begin"/>
      </w:r>
      <w:r>
        <w:instrText xml:space="preserve"> HYPERLINK "http://baike.so.com/doc/5716834-5929560.html" \t "_blank" </w:instrText>
      </w:r>
      <w:r>
        <w:fldChar w:fldCharType="separate"/>
      </w:r>
      <w:r>
        <w:rPr>
          <w:rFonts w:hint="eastAsia" w:ascii="仿宋" w:hAnsi="仿宋" w:eastAsia="仿宋" w:cs="仿宋"/>
          <w:bCs/>
          <w:color w:val="111111"/>
          <w:kern w:val="0"/>
          <w:sz w:val="30"/>
          <w:szCs w:val="30"/>
        </w:rPr>
        <w:t>财政性资金</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和政府借款购买货物、工程和服务的行为。政府采购不仅是指具体的</w:t>
      </w:r>
      <w:r>
        <w:fldChar w:fldCharType="begin"/>
      </w:r>
      <w:r>
        <w:instrText xml:space="preserve"> HYPERLINK "http://baike.so.com/doc/4796448-5012566.html" \t "_blank" </w:instrText>
      </w:r>
      <w:r>
        <w:fldChar w:fldCharType="separate"/>
      </w:r>
      <w:r>
        <w:rPr>
          <w:rFonts w:hint="eastAsia" w:ascii="仿宋" w:hAnsi="仿宋" w:eastAsia="仿宋" w:cs="仿宋"/>
          <w:bCs/>
          <w:color w:val="111111"/>
          <w:kern w:val="0"/>
          <w:sz w:val="30"/>
          <w:szCs w:val="30"/>
        </w:rPr>
        <w:t>采购过程</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，而且是采购政策、采购程序、采购过程及采购管理的总称，是一种对公共采购管理的制度。</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bookmarkStart w:id="0" w:name="_GoBack"/>
      <w:bookmarkEnd w:id="0"/>
      <w:r>
        <w:rPr>
          <w:rFonts w:hint="eastAsia" w:ascii="仿宋" w:hAnsi="仿宋" w:eastAsia="仿宋" w:cs="仿宋"/>
          <w:bCs/>
          <w:color w:val="111111"/>
          <w:kern w:val="0"/>
          <w:sz w:val="30"/>
          <w:szCs w:val="30"/>
        </w:rPr>
        <w:t>国有资产：国有资产是法律上确定为国家所有并能为国家提供经济和</w:t>
      </w:r>
      <w:r>
        <w:fldChar w:fldCharType="begin"/>
      </w:r>
      <w:r>
        <w:instrText xml:space="preserve"> HYPERLINK "http://baike.so.com/doc/741806-785246.html" \t "_blank" </w:instrText>
      </w:r>
      <w:r>
        <w:fldChar w:fldCharType="separate"/>
      </w:r>
      <w:r>
        <w:rPr>
          <w:rFonts w:hint="eastAsia" w:ascii="仿宋" w:hAnsi="仿宋" w:eastAsia="仿宋" w:cs="仿宋"/>
          <w:bCs/>
          <w:color w:val="111111"/>
          <w:kern w:val="0"/>
          <w:sz w:val="30"/>
          <w:szCs w:val="30"/>
        </w:rPr>
        <w:t>社会效益</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的各种</w:t>
      </w:r>
      <w:r>
        <w:fldChar w:fldCharType="begin"/>
      </w:r>
      <w:r>
        <w:instrText xml:space="preserve"> HYPERLINK "http://baike.so.com/doc/7798608-8072703.html" \t "_blank" </w:instrText>
      </w:r>
      <w:r>
        <w:fldChar w:fldCharType="separate"/>
      </w:r>
      <w:r>
        <w:rPr>
          <w:rFonts w:hint="eastAsia" w:ascii="仿宋" w:hAnsi="仿宋" w:eastAsia="仿宋" w:cs="仿宋"/>
          <w:bCs/>
          <w:color w:val="111111"/>
          <w:kern w:val="0"/>
          <w:sz w:val="30"/>
          <w:szCs w:val="30"/>
        </w:rPr>
        <w:t>经济资源</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的总和。就是属于国家所有的一切</w:t>
      </w:r>
      <w:r>
        <w:fldChar w:fldCharType="begin"/>
      </w:r>
      <w:r>
        <w:instrText xml:space="preserve"> HYPERLINK "http://baike.so.com/doc/5368106-5603892.html" \t "_blank" </w:instrText>
      </w:r>
      <w:r>
        <w:fldChar w:fldCharType="separate"/>
      </w:r>
      <w:r>
        <w:rPr>
          <w:rFonts w:hint="eastAsia" w:ascii="仿宋" w:hAnsi="仿宋" w:eastAsia="仿宋" w:cs="仿宋"/>
          <w:bCs/>
          <w:color w:val="111111"/>
          <w:kern w:val="0"/>
          <w:sz w:val="30"/>
          <w:szCs w:val="30"/>
        </w:rPr>
        <w:t>财产</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和财</w:t>
      </w:r>
      <w:r>
        <w:fldChar w:fldCharType="begin"/>
      </w:r>
      <w:r>
        <w:instrText xml:space="preserve"> HYPERLINK "http://baike.so.com/doc/5399886-5637441.html" \t "_blank" </w:instrText>
      </w:r>
      <w:r>
        <w:fldChar w:fldCharType="separate"/>
      </w:r>
      <w:r>
        <w:rPr>
          <w:rFonts w:hint="eastAsia" w:ascii="仿宋" w:hAnsi="仿宋" w:eastAsia="仿宋" w:cs="仿宋"/>
          <w:bCs/>
          <w:color w:val="111111"/>
          <w:kern w:val="0"/>
          <w:sz w:val="30"/>
          <w:szCs w:val="30"/>
        </w:rPr>
        <w:t>产权</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widowControl/>
        <w:spacing w:line="360" w:lineRule="auto"/>
        <w:ind w:firstLine="600" w:firstLineChars="200"/>
        <w:jc w:val="left"/>
        <w:rPr>
          <w:rFonts w:ascii="仿宋" w:hAnsi="仿宋" w:eastAsia="仿宋" w:cs="仿宋"/>
          <w:bCs/>
          <w:color w:val="111111"/>
          <w:kern w:val="0"/>
          <w:sz w:val="30"/>
          <w:szCs w:val="30"/>
        </w:rPr>
      </w:pP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附件：2019年度部门决算公开表格</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财政拨款收入支出决算总表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一般公共预算财政拨款基本支出决算表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一般公共预算财政拨款“三公”经费支出决算表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政府性基金预算财政拨款收入支出决算表</w:t>
      </w:r>
    </w:p>
    <w:p>
      <w:pPr>
        <w:widowControl/>
        <w:spacing w:line="360" w:lineRule="auto"/>
        <w:ind w:firstLine="600" w:firstLineChars="200"/>
        <w:jc w:val="left"/>
        <w:rPr>
          <w:rFonts w:ascii="仿宋" w:hAnsi="仿宋" w:eastAsia="仿宋" w:cs="仿宋"/>
          <w:bCs/>
          <w:color w:val="111111"/>
          <w:kern w:val="0"/>
          <w:sz w:val="30"/>
          <w:szCs w:val="30"/>
        </w:rPr>
      </w:pPr>
    </w:p>
    <w:p>
      <w:pPr>
        <w:widowControl/>
        <w:spacing w:line="360" w:lineRule="auto"/>
        <w:ind w:firstLine="600" w:firstLineChars="200"/>
        <w:jc w:val="left"/>
        <w:rPr>
          <w:rFonts w:ascii="仿宋" w:hAnsi="仿宋" w:eastAsia="仿宋" w:cs="仿宋"/>
          <w:bCs/>
          <w:color w:val="111111"/>
          <w:kern w:val="0"/>
          <w:sz w:val="30"/>
          <w:szCs w:val="30"/>
        </w:rPr>
      </w:pPr>
    </w:p>
    <w:p>
      <w:pPr>
        <w:spacing w:line="360" w:lineRule="auto"/>
        <w:ind w:firstLine="600" w:firstLineChars="200"/>
        <w:rPr>
          <w:rFonts w:ascii="仿宋" w:hAnsi="仿宋" w:eastAsia="仿宋" w:cs="仿宋"/>
          <w:kern w:val="0"/>
          <w:sz w:val="30"/>
          <w:szCs w:val="30"/>
        </w:rPr>
      </w:pPr>
    </w:p>
    <w:p>
      <w:pPr>
        <w:spacing w:line="360" w:lineRule="auto"/>
        <w:rPr>
          <w:rFonts w:ascii="仿宋" w:hAnsi="仿宋" w:eastAsia="仿宋" w:cs="仿宋"/>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- 10 -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75BB9F"/>
    <w:multiLevelType w:val="singleLevel"/>
    <w:tmpl w:val="5D75BB9F"/>
    <w:lvl w:ilvl="0" w:tentative="0">
      <w:start w:val="1"/>
      <w:numFmt w:val="chineseCounting"/>
      <w:suff w:val="nothing"/>
      <w:lvlText w:val="%1、"/>
      <w:lvlJc w:val="left"/>
    </w:lvl>
  </w:abstractNum>
  <w:abstractNum w:abstractNumId="4">
    <w:nsid w:val="5D7EDA3B"/>
    <w:multiLevelType w:val="singleLevel"/>
    <w:tmpl w:val="5D7EDA3B"/>
    <w:lvl w:ilvl="0" w:tentative="0">
      <w:start w:val="9"/>
      <w:numFmt w:val="chineseCounting"/>
      <w:suff w:val="nothing"/>
      <w:lvlText w:val="%1、"/>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41522A4"/>
    <w:rsid w:val="0007593B"/>
    <w:rsid w:val="0024683D"/>
    <w:rsid w:val="002F2F7A"/>
    <w:rsid w:val="004D28BB"/>
    <w:rsid w:val="00725CCF"/>
    <w:rsid w:val="008557E7"/>
    <w:rsid w:val="00AF3EB9"/>
    <w:rsid w:val="00C163BB"/>
    <w:rsid w:val="00C4414F"/>
    <w:rsid w:val="00CF138F"/>
    <w:rsid w:val="00DF184C"/>
    <w:rsid w:val="02056C4D"/>
    <w:rsid w:val="023F13DB"/>
    <w:rsid w:val="026066D5"/>
    <w:rsid w:val="029224CF"/>
    <w:rsid w:val="032D5CC6"/>
    <w:rsid w:val="03456C94"/>
    <w:rsid w:val="036A7041"/>
    <w:rsid w:val="0372233B"/>
    <w:rsid w:val="037D750B"/>
    <w:rsid w:val="03CD392E"/>
    <w:rsid w:val="04101647"/>
    <w:rsid w:val="04DF25D8"/>
    <w:rsid w:val="04E67290"/>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EE11E4"/>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F10D10"/>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Autospacing="1"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10">
    <w:name w:val="apple-converted-space"/>
    <w:basedOn w:val="5"/>
    <w:qFormat/>
    <w:uiPriority w:val="0"/>
  </w:style>
  <w:style w:type="character" w:customStyle="1" w:styleId="11">
    <w:name w:val="页眉 Char"/>
    <w:basedOn w:val="5"/>
    <w:link w:val="3"/>
    <w:uiPriority w:val="0"/>
    <w:rPr>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C8BE83-9369-4429-867E-6B028C09210A}">
  <ds:schemaRefs/>
</ds:datastoreItem>
</file>

<file path=docProps/app.xml><?xml version="1.0" encoding="utf-8"?>
<Properties xmlns="http://schemas.openxmlformats.org/officeDocument/2006/extended-properties" xmlns:vt="http://schemas.openxmlformats.org/officeDocument/2006/docPropsVTypes">
  <Template>0</Template>
  <Company>微软中国</Company>
  <Pages>11</Pages>
  <Words>782</Words>
  <Characters>4462</Characters>
  <Lines>37</Lines>
  <Paragraphs>10</Paragraphs>
  <TotalTime>74</TotalTime>
  <ScaleCrop>false</ScaleCrop>
  <LinksUpToDate>false</LinksUpToDate>
  <CharactersWithSpaces>5234</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Administrator</cp:lastModifiedBy>
  <cp:lastPrinted>2018-10-11T04:40:00Z</cp:lastPrinted>
  <dcterms:modified xsi:type="dcterms:W3CDTF">2020-10-15T05:33:59Z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